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charts/chart7.xml" ContentType="application/vnd.openxmlformats-officedocument.drawingml.chart+xml"/>
  <Override PartName="/word/charts/style7.xml" ContentType="application/vnd.ms-office.chartstyle+xml"/>
  <Override PartName="/word/charts/colors7.xml" ContentType="application/vnd.ms-office.chartcolorstyle+xml"/>
  <Override PartName="/word/charts/chart8.xml" ContentType="application/vnd.openxmlformats-officedocument.drawingml.chart+xml"/>
  <Override PartName="/word/charts/style8.xml" ContentType="application/vnd.ms-office.chartstyle+xml"/>
  <Override PartName="/word/charts/colors8.xml" ContentType="application/vnd.ms-office.chartcolorstyle+xml"/>
  <Override PartName="/word/charts/chart9.xml" ContentType="application/vnd.openxmlformats-officedocument.drawingml.chart+xml"/>
  <Override PartName="/word/charts/style9.xml" ContentType="application/vnd.ms-office.chartstyle+xml"/>
  <Override PartName="/word/charts/colors9.xml" ContentType="application/vnd.ms-office.chartcolorstyle+xml"/>
  <Override PartName="/word/charts/chart10.xml" ContentType="application/vnd.openxmlformats-officedocument.drawingml.chart+xml"/>
  <Override PartName="/word/charts/style10.xml" ContentType="application/vnd.ms-office.chartstyle+xml"/>
  <Override PartName="/word/charts/colors10.xml" ContentType="application/vnd.ms-office.chartcolorstyle+xml"/>
  <Override PartName="/word/charts/chart11.xml" ContentType="application/vnd.openxmlformats-officedocument.drawingml.chart+xml"/>
  <Override PartName="/word/charts/style11.xml" ContentType="application/vnd.ms-office.chartstyle+xml"/>
  <Override PartName="/word/charts/colors11.xml" ContentType="application/vnd.ms-office.chartcolorstyle+xml"/>
  <Override PartName="/word/charts/chart12.xml" ContentType="application/vnd.openxmlformats-officedocument.drawingml.chart+xml"/>
  <Override PartName="/word/charts/style12.xml" ContentType="application/vnd.ms-office.chartstyle+xml"/>
  <Override PartName="/word/charts/colors12.xml" ContentType="application/vnd.ms-office.chartcolorstyle+xml"/>
  <Override PartName="/word/charts/chart13.xml" ContentType="application/vnd.openxmlformats-officedocument.drawingml.chart+xml"/>
  <Override PartName="/word/charts/style13.xml" ContentType="application/vnd.ms-office.chartstyle+xml"/>
  <Override PartName="/word/charts/colors13.xml" ContentType="application/vnd.ms-office.chartcolorstyle+xml"/>
  <Override PartName="/word/charts/chart14.xml" ContentType="application/vnd.openxmlformats-officedocument.drawingml.chart+xml"/>
  <Override PartName="/word/charts/style14.xml" ContentType="application/vnd.ms-office.chartstyle+xml"/>
  <Override PartName="/word/charts/colors14.xml" ContentType="application/vnd.ms-office.chartcolorstyle+xml"/>
  <Override PartName="/word/charts/chart15.xml" ContentType="application/vnd.openxmlformats-officedocument.drawingml.chart+xml"/>
  <Override PartName="/word/charts/style15.xml" ContentType="application/vnd.ms-office.chartstyle+xml"/>
  <Override PartName="/word/charts/colors15.xml" ContentType="application/vnd.ms-office.chartcolorstyle+xml"/>
  <Override PartName="/word/charts/chart16.xml" ContentType="application/vnd.openxmlformats-officedocument.drawingml.chart+xml"/>
  <Override PartName="/word/charts/style16.xml" ContentType="application/vnd.ms-office.chartstyle+xml"/>
  <Override PartName="/word/charts/colors16.xml" ContentType="application/vnd.ms-office.chartcolorstyle+xml"/>
  <Override PartName="/word/charts/chart17.xml" ContentType="application/vnd.openxmlformats-officedocument.drawingml.chart+xml"/>
  <Override PartName="/word/charts/style17.xml" ContentType="application/vnd.ms-office.chartstyle+xml"/>
  <Override PartName="/word/charts/colors17.xml" ContentType="application/vnd.ms-office.chartcolorstyle+xml"/>
  <Override PartName="/word/charts/chart18.xml" ContentType="application/vnd.openxmlformats-officedocument.drawingml.chart+xml"/>
  <Override PartName="/word/charts/style18.xml" ContentType="application/vnd.ms-office.chartstyle+xml"/>
  <Override PartName="/word/charts/colors18.xml" ContentType="application/vnd.ms-office.chartcolorstyle+xml"/>
  <Override PartName="/word/charts/chart19.xml" ContentType="application/vnd.openxmlformats-officedocument.drawingml.chart+xml"/>
  <Override PartName="/word/charts/style19.xml" ContentType="application/vnd.ms-office.chartstyle+xml"/>
  <Override PartName="/word/charts/colors19.xml" ContentType="application/vnd.ms-office.chartcolorstyle+xml"/>
  <Override PartName="/word/charts/chart20.xml" ContentType="application/vnd.openxmlformats-officedocument.drawingml.chart+xml"/>
  <Override PartName="/word/charts/style20.xml" ContentType="application/vnd.ms-office.chartstyle+xml"/>
  <Override PartName="/word/charts/colors20.xml" ContentType="application/vnd.ms-office.chartcolorstyle+xml"/>
  <Override PartName="/word/charts/chart21.xml" ContentType="application/vnd.openxmlformats-officedocument.drawingml.chart+xml"/>
  <Override PartName="/word/charts/style21.xml" ContentType="application/vnd.ms-office.chartstyle+xml"/>
  <Override PartName="/word/charts/colors21.xml" ContentType="application/vnd.ms-office.chartcolorstyle+xml"/>
  <Override PartName="/word/charts/chart22.xml" ContentType="application/vnd.openxmlformats-officedocument.drawingml.chart+xml"/>
  <Override PartName="/word/charts/style22.xml" ContentType="application/vnd.ms-office.chartstyle+xml"/>
  <Override PartName="/word/charts/colors22.xml" ContentType="application/vnd.ms-office.chartcolorstyle+xml"/>
  <Override PartName="/word/charts/chart23.xml" ContentType="application/vnd.openxmlformats-officedocument.drawingml.chart+xml"/>
  <Override PartName="/word/charts/style23.xml" ContentType="application/vnd.ms-office.chartstyle+xml"/>
  <Override PartName="/word/charts/colors23.xml" ContentType="application/vnd.ms-office.chartcolorstyle+xml"/>
  <Override PartName="/word/charts/chart24.xml" ContentType="application/vnd.openxmlformats-officedocument.drawingml.chart+xml"/>
  <Override PartName="/word/charts/style24.xml" ContentType="application/vnd.ms-office.chartstyle+xml"/>
  <Override PartName="/word/charts/colors24.xml" ContentType="application/vnd.ms-office.chartcolorstyle+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77C43B5" w14:textId="6D2FDD94" w:rsidR="00203691" w:rsidRDefault="00B73CD2" w:rsidP="00203691">
      <w:pPr>
        <w:pStyle w:val="ProgramNote"/>
      </w:pPr>
      <w:bookmarkStart w:id="0" w:name="_Toc507583982"/>
      <w:bookmarkStart w:id="1" w:name="_Toc507584036"/>
      <w:bookmarkStart w:id="2" w:name="_Toc531073707"/>
      <w:bookmarkStart w:id="3" w:name="_Hlk3961767"/>
      <w:bookmarkStart w:id="4" w:name="_Hlk21005086"/>
      <w:r>
        <w:t>National Geospatial Program</w:t>
      </w:r>
    </w:p>
    <w:p w14:paraId="253E66D9" w14:textId="1CCA7AD7" w:rsidR="00203691" w:rsidRDefault="00203691" w:rsidP="00203691">
      <w:pPr>
        <w:pStyle w:val="Collaborator"/>
      </w:pPr>
      <w:r>
        <w:t>Prepared in cooperation with</w:t>
      </w:r>
      <w:r w:rsidR="009D18F4">
        <w:t xml:space="preserve"> the</w:t>
      </w:r>
      <w:r>
        <w:t xml:space="preserve"> </w:t>
      </w:r>
      <w:r w:rsidR="006A110F">
        <w:t>Asian Development Bank</w:t>
      </w:r>
    </w:p>
    <w:p w14:paraId="65FC627B" w14:textId="0905AEA7" w:rsidR="00203691" w:rsidRDefault="007D7E00" w:rsidP="00203691">
      <w:pPr>
        <w:pStyle w:val="RptTitle"/>
      </w:pPr>
      <w:r>
        <w:t xml:space="preserve">Increasing Water Security on Pacific Islands Through Increased Data Availability and Understanding—Volume </w:t>
      </w:r>
      <w:r w:rsidR="009F718F">
        <w:t>2, Federated States of Micronesia</w:t>
      </w:r>
    </w:p>
    <w:p w14:paraId="2302B286" w14:textId="49F59E7D" w:rsidR="006A110F" w:rsidRPr="00BB2C9D" w:rsidRDefault="006A110F" w:rsidP="006A110F">
      <w:pPr>
        <w:pStyle w:val="RptAuthors"/>
        <w:rPr>
          <w:vertAlign w:val="superscript"/>
        </w:rPr>
      </w:pPr>
      <w:bookmarkStart w:id="5" w:name="_Hlk137455813"/>
      <w:r>
        <w:t xml:space="preserve">By </w:t>
      </w:r>
      <w:bookmarkStart w:id="6" w:name="_Hlk219445430"/>
      <w:r>
        <w:t xml:space="preserve">Gabriel </w:t>
      </w:r>
      <w:r w:rsidR="00D72233">
        <w:t xml:space="preserve">B. </w:t>
      </w:r>
      <w:r>
        <w:t>Senay,</w:t>
      </w:r>
      <w:r w:rsidRPr="00AA12C5">
        <w:rPr>
          <w:vertAlign w:val="superscript"/>
        </w:rPr>
        <w:t>1</w:t>
      </w:r>
      <w:r>
        <w:t xml:space="preserve"> Francis K. </w:t>
      </w:r>
      <w:bookmarkStart w:id="7" w:name="_Hlk219445501"/>
      <w:r>
        <w:t>Dwomoh</w:t>
      </w:r>
      <w:bookmarkEnd w:id="7"/>
      <w:r>
        <w:t>,</w:t>
      </w:r>
      <w:r>
        <w:rPr>
          <w:vertAlign w:val="superscript"/>
        </w:rPr>
        <w:t>2</w:t>
      </w:r>
      <w:r>
        <w:t xml:space="preserve"> Stefanie Kagone,</w:t>
      </w:r>
      <w:r>
        <w:rPr>
          <w:vertAlign w:val="superscript"/>
        </w:rPr>
        <w:t>2</w:t>
      </w:r>
      <w:r>
        <w:t xml:space="preserve"> </w:t>
      </w:r>
      <w:r w:rsidR="6CCC3EC2">
        <w:t xml:space="preserve">Tomas </w:t>
      </w:r>
      <w:r w:rsidR="6CCC3EC2" w:rsidRPr="068EC54B">
        <w:t>Smieszek</w:t>
      </w:r>
      <w:r w:rsidR="6CCC3EC2" w:rsidRPr="000A40DB">
        <w:rPr>
          <w:vertAlign w:val="superscript"/>
        </w:rPr>
        <w:t>1</w:t>
      </w:r>
      <w:r w:rsidR="6CCC3EC2" w:rsidRPr="068EC54B">
        <w:t xml:space="preserve">, </w:t>
      </w:r>
      <w:r>
        <w:t>and Matthew E. Andersen</w:t>
      </w:r>
      <w:bookmarkEnd w:id="6"/>
      <w:r w:rsidRPr="00AA12C5">
        <w:rPr>
          <w:vertAlign w:val="superscript"/>
        </w:rPr>
        <w:t>1</w:t>
      </w:r>
    </w:p>
    <w:bookmarkEnd w:id="5"/>
    <w:p w14:paraId="39878C62" w14:textId="77777777" w:rsidR="006A110F" w:rsidRDefault="006A110F" w:rsidP="00F5083D">
      <w:pPr>
        <w:pStyle w:val="AuthorFootnote"/>
        <w:spacing w:line="240" w:lineRule="auto"/>
      </w:pPr>
      <w:r w:rsidRPr="00BB2C9D">
        <w:rPr>
          <w:vertAlign w:val="superscript"/>
        </w:rPr>
        <w:t>1</w:t>
      </w:r>
      <w:r>
        <w:t>U.S. Geological Survey.</w:t>
      </w:r>
    </w:p>
    <w:p w14:paraId="3D19BC96" w14:textId="039C9852" w:rsidR="00F5083D" w:rsidRDefault="006A110F" w:rsidP="000A40DB">
      <w:pPr>
        <w:pStyle w:val="AuthorFootnote"/>
        <w:spacing w:line="240" w:lineRule="auto"/>
      </w:pPr>
      <w:r>
        <w:rPr>
          <w:vertAlign w:val="superscript"/>
        </w:rPr>
        <w:t>2</w:t>
      </w:r>
      <w:r w:rsidR="00DB298B" w:rsidRPr="00DB298B">
        <w:t>ASRC Federal, contractor to the U.S. Geological Survey (USGS) Earth Resources Observations and Science (EROS) Center, Sioux Falls, SD 57198, USA. Work performed under USGS Contract [140G0124D0001]</w:t>
      </w:r>
      <w:r w:rsidR="00F5083D">
        <w:t>.</w:t>
      </w:r>
    </w:p>
    <w:p w14:paraId="1F8E32A6" w14:textId="77777777" w:rsidR="00F5083D" w:rsidRDefault="00F5083D" w:rsidP="00DB298B">
      <w:pPr>
        <w:pStyle w:val="AuthorFootnote"/>
      </w:pPr>
    </w:p>
    <w:p w14:paraId="792FD0EF" w14:textId="77777777" w:rsidR="00203691" w:rsidRDefault="00203691" w:rsidP="00DB298B">
      <w:pPr>
        <w:pStyle w:val="AuthorFootnote"/>
      </w:pPr>
      <w:r>
        <w:t>Any use of trade, firm, or product names is for descriptive purposes only and does not imply endorsement by the U.S. Government.</w:t>
      </w:r>
    </w:p>
    <w:p w14:paraId="429C7BDF" w14:textId="32A61138" w:rsidR="00203691" w:rsidRDefault="00203691" w:rsidP="00203691">
      <w:pPr>
        <w:pStyle w:val="Non-XMLText"/>
      </w:pPr>
      <w:r>
        <w:t>Although this information product, for the most part, is in the public domain, it also may contain copyrighted materials as noted in the text. Permission to reproduce copyrighted items must be secured from the copyright owner.</w:t>
      </w:r>
    </w:p>
    <w:p w14:paraId="0EAD98A4" w14:textId="77777777" w:rsidR="004A17B4" w:rsidRPr="00293634" w:rsidRDefault="004A17B4" w:rsidP="004A17B4">
      <w:pPr>
        <w:pStyle w:val="Non-XMLText"/>
        <w:jc w:val="both"/>
      </w:pPr>
      <w:r w:rsidRPr="00293634">
        <w:t xml:space="preserve">This draft manuscript is distributed solely for purposes of courtesy review and comments received will be addressed and treated as appropriate to ensure there is no conflict of interest. Its content is </w:t>
      </w:r>
      <w:proofErr w:type="gramStart"/>
      <w:r w:rsidRPr="00293634">
        <w:t>deliberative</w:t>
      </w:r>
      <w:proofErr w:type="gramEnd"/>
      <w:r w:rsidRPr="00293634">
        <w:t xml:space="preserve"> and </w:t>
      </w:r>
      <w:proofErr w:type="spellStart"/>
      <w:r w:rsidRPr="00293634">
        <w:t>predecisional</w:t>
      </w:r>
      <w:proofErr w:type="spellEnd"/>
      <w:r w:rsidRPr="00293634">
        <w:t>, so it must not be disclosed or released by reviewers. Because the manuscript has not yet been approved for publication by the U.S. Geological Survey (USGS), it does not represent any official USGS finding or policy.</w:t>
      </w:r>
    </w:p>
    <w:p w14:paraId="75C6FFE0" w14:textId="77777777" w:rsidR="004A17B4" w:rsidRDefault="004A17B4" w:rsidP="00203691">
      <w:pPr>
        <w:pStyle w:val="Non-XMLText"/>
      </w:pPr>
    </w:p>
    <w:p w14:paraId="1EE00DB8" w14:textId="0476894F" w:rsidR="00203691" w:rsidRPr="00806F81" w:rsidRDefault="00203691" w:rsidP="00203691">
      <w:pPr>
        <w:pStyle w:val="AckHeadFront"/>
      </w:pPr>
      <w:bookmarkStart w:id="8" w:name="_Toc507583974"/>
      <w:bookmarkStart w:id="9" w:name="_Toc507584028"/>
      <w:bookmarkStart w:id="10" w:name="_Toc531073705"/>
      <w:bookmarkStart w:id="11" w:name="_Toc219446480"/>
      <w:bookmarkStart w:id="12" w:name="_Toc228288428"/>
      <w:r w:rsidRPr="00806F81">
        <w:t>Acknowledgments</w:t>
      </w:r>
      <w:bookmarkEnd w:id="8"/>
      <w:bookmarkEnd w:id="9"/>
      <w:bookmarkEnd w:id="10"/>
      <w:bookmarkEnd w:id="11"/>
      <w:bookmarkEnd w:id="12"/>
    </w:p>
    <w:p w14:paraId="3C7AE706" w14:textId="76BF0334" w:rsidR="00627205" w:rsidRDefault="00627205" w:rsidP="00627205">
      <w:pPr>
        <w:pStyle w:val="Acknowledgments"/>
      </w:pPr>
      <w:r>
        <w:t>This work was conducted in collaboration with the Strengthening Resilient and Sustainable Urban and Water Service Delivery in the Pacific project of the Water and Urban Development Sector of the Asian Development Bank (ADB). ADB provided financial support from some USGS technical salaries and associated administrative costs, including some of the travel necessary to administer and manage the work</w:t>
      </w:r>
      <w:r w:rsidR="00BD0DC1">
        <w:t>.</w:t>
      </w:r>
    </w:p>
    <w:p w14:paraId="7A31C8DF" w14:textId="77777777" w:rsidR="00BB2B28" w:rsidRDefault="00BB2B28" w:rsidP="00203691">
      <w:pPr>
        <w:pStyle w:val="Acknowledgments"/>
      </w:pPr>
    </w:p>
    <w:p w14:paraId="04EBDEE1" w14:textId="77777777" w:rsidR="00203691" w:rsidRDefault="00203691" w:rsidP="00203691">
      <w:pPr>
        <w:pStyle w:val="TOCHeading1"/>
      </w:pPr>
      <w:bookmarkStart w:id="13" w:name="_Toc507583975"/>
      <w:bookmarkStart w:id="14" w:name="_Toc507584029"/>
      <w:r>
        <w:t>Outline</w:t>
      </w:r>
      <w:bookmarkEnd w:id="13"/>
      <w:bookmarkEnd w:id="14"/>
    </w:p>
    <w:p w14:paraId="1E5A48BC" w14:textId="032171A9" w:rsidR="005A559B" w:rsidRDefault="00DC6634">
      <w:pPr>
        <w:pStyle w:val="TOC1"/>
        <w:rPr>
          <w:rFonts w:asciiTheme="minorHAnsi" w:eastAsiaTheme="minorEastAsia" w:hAnsiTheme="minorHAnsi" w:cstheme="minorBidi"/>
          <w:noProof/>
          <w:kern w:val="2"/>
          <w14:ligatures w14:val="standardContextual"/>
        </w:rPr>
      </w:pPr>
      <w:r>
        <w:fldChar w:fldCharType="begin"/>
      </w:r>
      <w:r>
        <w:instrText xml:space="preserve"> TOC \o "1-3" \h \z \u </w:instrText>
      </w:r>
      <w:r>
        <w:fldChar w:fldCharType="separate"/>
      </w:r>
      <w:hyperlink w:anchor="_Toc228288428" w:history="1">
        <w:r w:rsidR="005A559B" w:rsidRPr="00894396">
          <w:rPr>
            <w:rStyle w:val="Hyperlink"/>
            <w:noProof/>
          </w:rPr>
          <w:t>Acknowledgments</w:t>
        </w:r>
        <w:r w:rsidR="005A559B">
          <w:rPr>
            <w:noProof/>
            <w:webHidden/>
          </w:rPr>
          <w:tab/>
        </w:r>
        <w:r w:rsidR="005A559B">
          <w:rPr>
            <w:noProof/>
            <w:webHidden/>
          </w:rPr>
          <w:fldChar w:fldCharType="begin"/>
        </w:r>
        <w:r w:rsidR="005A559B">
          <w:rPr>
            <w:noProof/>
            <w:webHidden/>
          </w:rPr>
          <w:instrText xml:space="preserve"> PAGEREF _Toc228288428 \h </w:instrText>
        </w:r>
        <w:r w:rsidR="005A559B">
          <w:rPr>
            <w:noProof/>
            <w:webHidden/>
          </w:rPr>
        </w:r>
        <w:r w:rsidR="005A559B">
          <w:rPr>
            <w:noProof/>
            <w:webHidden/>
          </w:rPr>
          <w:fldChar w:fldCharType="separate"/>
        </w:r>
        <w:r w:rsidR="005A559B">
          <w:rPr>
            <w:noProof/>
            <w:webHidden/>
          </w:rPr>
          <w:t>2</w:t>
        </w:r>
        <w:r w:rsidR="005A559B">
          <w:rPr>
            <w:noProof/>
            <w:webHidden/>
          </w:rPr>
          <w:fldChar w:fldCharType="end"/>
        </w:r>
      </w:hyperlink>
    </w:p>
    <w:p w14:paraId="08A52466" w14:textId="120F9E00" w:rsidR="005A559B" w:rsidRDefault="005A559B">
      <w:pPr>
        <w:pStyle w:val="TOC1"/>
        <w:rPr>
          <w:rFonts w:asciiTheme="minorHAnsi" w:eastAsiaTheme="minorEastAsia" w:hAnsiTheme="minorHAnsi" w:cstheme="minorBidi"/>
          <w:noProof/>
          <w:kern w:val="2"/>
          <w14:ligatures w14:val="standardContextual"/>
        </w:rPr>
      </w:pPr>
      <w:hyperlink w:anchor="_Toc228288429" w:history="1">
        <w:r w:rsidRPr="00894396">
          <w:rPr>
            <w:rStyle w:val="Hyperlink"/>
            <w:noProof/>
          </w:rPr>
          <w:t>Introduction</w:t>
        </w:r>
        <w:r>
          <w:rPr>
            <w:noProof/>
            <w:webHidden/>
          </w:rPr>
          <w:tab/>
        </w:r>
        <w:r>
          <w:rPr>
            <w:noProof/>
            <w:webHidden/>
          </w:rPr>
          <w:fldChar w:fldCharType="begin"/>
        </w:r>
        <w:r>
          <w:rPr>
            <w:noProof/>
            <w:webHidden/>
          </w:rPr>
          <w:instrText xml:space="preserve"> PAGEREF _Toc228288429 \h </w:instrText>
        </w:r>
        <w:r>
          <w:rPr>
            <w:noProof/>
            <w:webHidden/>
          </w:rPr>
        </w:r>
        <w:r>
          <w:rPr>
            <w:noProof/>
            <w:webHidden/>
          </w:rPr>
          <w:fldChar w:fldCharType="separate"/>
        </w:r>
        <w:r>
          <w:rPr>
            <w:noProof/>
            <w:webHidden/>
          </w:rPr>
          <w:t>5</w:t>
        </w:r>
        <w:r>
          <w:rPr>
            <w:noProof/>
            <w:webHidden/>
          </w:rPr>
          <w:fldChar w:fldCharType="end"/>
        </w:r>
      </w:hyperlink>
    </w:p>
    <w:p w14:paraId="42721733" w14:textId="686B182C" w:rsidR="005A559B" w:rsidRDefault="005A559B">
      <w:pPr>
        <w:pStyle w:val="TOC1"/>
        <w:rPr>
          <w:rFonts w:asciiTheme="minorHAnsi" w:eastAsiaTheme="minorEastAsia" w:hAnsiTheme="minorHAnsi" w:cstheme="minorBidi"/>
          <w:noProof/>
          <w:kern w:val="2"/>
          <w14:ligatures w14:val="standardContextual"/>
        </w:rPr>
      </w:pPr>
      <w:hyperlink w:anchor="_Toc228288430" w:history="1">
        <w:r w:rsidRPr="00894396">
          <w:rPr>
            <w:rStyle w:val="Hyperlink"/>
            <w:noProof/>
          </w:rPr>
          <w:t>Purpose and Scope</w:t>
        </w:r>
        <w:r>
          <w:rPr>
            <w:noProof/>
            <w:webHidden/>
          </w:rPr>
          <w:tab/>
        </w:r>
        <w:r>
          <w:rPr>
            <w:noProof/>
            <w:webHidden/>
          </w:rPr>
          <w:fldChar w:fldCharType="begin"/>
        </w:r>
        <w:r>
          <w:rPr>
            <w:noProof/>
            <w:webHidden/>
          </w:rPr>
          <w:instrText xml:space="preserve"> PAGEREF _Toc228288430 \h </w:instrText>
        </w:r>
        <w:r>
          <w:rPr>
            <w:noProof/>
            <w:webHidden/>
          </w:rPr>
        </w:r>
        <w:r>
          <w:rPr>
            <w:noProof/>
            <w:webHidden/>
          </w:rPr>
          <w:fldChar w:fldCharType="separate"/>
        </w:r>
        <w:r>
          <w:rPr>
            <w:noProof/>
            <w:webHidden/>
          </w:rPr>
          <w:t>6</w:t>
        </w:r>
        <w:r>
          <w:rPr>
            <w:noProof/>
            <w:webHidden/>
          </w:rPr>
          <w:fldChar w:fldCharType="end"/>
        </w:r>
      </w:hyperlink>
    </w:p>
    <w:p w14:paraId="2DF0D792" w14:textId="4C5CAC75" w:rsidR="005A559B" w:rsidRDefault="005A559B">
      <w:pPr>
        <w:pStyle w:val="TOC1"/>
        <w:rPr>
          <w:rFonts w:asciiTheme="minorHAnsi" w:eastAsiaTheme="minorEastAsia" w:hAnsiTheme="minorHAnsi" w:cstheme="minorBidi"/>
          <w:noProof/>
          <w:kern w:val="2"/>
          <w14:ligatures w14:val="standardContextual"/>
        </w:rPr>
      </w:pPr>
      <w:hyperlink w:anchor="_Toc228288431" w:history="1">
        <w:r w:rsidRPr="00894396">
          <w:rPr>
            <w:rStyle w:val="Hyperlink"/>
            <w:noProof/>
          </w:rPr>
          <w:t>Federated States of Micronesia (FSM)</w:t>
        </w:r>
        <w:r>
          <w:rPr>
            <w:noProof/>
            <w:webHidden/>
          </w:rPr>
          <w:tab/>
        </w:r>
        <w:r>
          <w:rPr>
            <w:noProof/>
            <w:webHidden/>
          </w:rPr>
          <w:fldChar w:fldCharType="begin"/>
        </w:r>
        <w:r>
          <w:rPr>
            <w:noProof/>
            <w:webHidden/>
          </w:rPr>
          <w:instrText xml:space="preserve"> PAGEREF _Toc228288431 \h </w:instrText>
        </w:r>
        <w:r>
          <w:rPr>
            <w:noProof/>
            <w:webHidden/>
          </w:rPr>
        </w:r>
        <w:r>
          <w:rPr>
            <w:noProof/>
            <w:webHidden/>
          </w:rPr>
          <w:fldChar w:fldCharType="separate"/>
        </w:r>
        <w:r>
          <w:rPr>
            <w:noProof/>
            <w:webHidden/>
          </w:rPr>
          <w:t>7</w:t>
        </w:r>
        <w:r>
          <w:rPr>
            <w:noProof/>
            <w:webHidden/>
          </w:rPr>
          <w:fldChar w:fldCharType="end"/>
        </w:r>
      </w:hyperlink>
    </w:p>
    <w:p w14:paraId="0B8ABFED" w14:textId="2BB3A48A" w:rsidR="005A559B" w:rsidRDefault="005A559B">
      <w:pPr>
        <w:pStyle w:val="TOC2"/>
        <w:rPr>
          <w:rFonts w:asciiTheme="minorHAnsi" w:eastAsiaTheme="minorEastAsia" w:hAnsiTheme="minorHAnsi" w:cstheme="minorBidi"/>
          <w:noProof/>
          <w:kern w:val="2"/>
          <w14:ligatures w14:val="standardContextual"/>
        </w:rPr>
      </w:pPr>
      <w:hyperlink w:anchor="_Toc228288432" w:history="1">
        <w:r w:rsidRPr="00894396">
          <w:rPr>
            <w:rStyle w:val="Hyperlink"/>
            <w:noProof/>
          </w:rPr>
          <w:t>Island of Kosrae</w:t>
        </w:r>
        <w:r>
          <w:rPr>
            <w:noProof/>
            <w:webHidden/>
          </w:rPr>
          <w:tab/>
        </w:r>
        <w:r>
          <w:rPr>
            <w:noProof/>
            <w:webHidden/>
          </w:rPr>
          <w:fldChar w:fldCharType="begin"/>
        </w:r>
        <w:r>
          <w:rPr>
            <w:noProof/>
            <w:webHidden/>
          </w:rPr>
          <w:instrText xml:space="preserve"> PAGEREF _Toc228288432 \h </w:instrText>
        </w:r>
        <w:r>
          <w:rPr>
            <w:noProof/>
            <w:webHidden/>
          </w:rPr>
        </w:r>
        <w:r>
          <w:rPr>
            <w:noProof/>
            <w:webHidden/>
          </w:rPr>
          <w:fldChar w:fldCharType="separate"/>
        </w:r>
        <w:r>
          <w:rPr>
            <w:noProof/>
            <w:webHidden/>
          </w:rPr>
          <w:t>12</w:t>
        </w:r>
        <w:r>
          <w:rPr>
            <w:noProof/>
            <w:webHidden/>
          </w:rPr>
          <w:fldChar w:fldCharType="end"/>
        </w:r>
      </w:hyperlink>
    </w:p>
    <w:p w14:paraId="64F1B04D" w14:textId="3925D830" w:rsidR="005A559B" w:rsidRDefault="005A559B">
      <w:pPr>
        <w:pStyle w:val="TOC3"/>
        <w:rPr>
          <w:rFonts w:asciiTheme="minorHAnsi" w:eastAsiaTheme="minorEastAsia" w:hAnsiTheme="minorHAnsi" w:cstheme="minorBidi"/>
          <w:noProof/>
          <w:kern w:val="2"/>
          <w14:ligatures w14:val="standardContextual"/>
        </w:rPr>
      </w:pPr>
      <w:hyperlink w:anchor="_Toc228288433" w:history="1">
        <w:r w:rsidRPr="00894396">
          <w:rPr>
            <w:rStyle w:val="Hyperlink"/>
            <w:noProof/>
          </w:rPr>
          <w:t>Precipitation</w:t>
        </w:r>
        <w:r>
          <w:rPr>
            <w:noProof/>
            <w:webHidden/>
          </w:rPr>
          <w:tab/>
        </w:r>
        <w:r>
          <w:rPr>
            <w:noProof/>
            <w:webHidden/>
          </w:rPr>
          <w:fldChar w:fldCharType="begin"/>
        </w:r>
        <w:r>
          <w:rPr>
            <w:noProof/>
            <w:webHidden/>
          </w:rPr>
          <w:instrText xml:space="preserve"> PAGEREF _Toc228288433 \h </w:instrText>
        </w:r>
        <w:r>
          <w:rPr>
            <w:noProof/>
            <w:webHidden/>
          </w:rPr>
        </w:r>
        <w:r>
          <w:rPr>
            <w:noProof/>
            <w:webHidden/>
          </w:rPr>
          <w:fldChar w:fldCharType="separate"/>
        </w:r>
        <w:r>
          <w:rPr>
            <w:noProof/>
            <w:webHidden/>
          </w:rPr>
          <w:t>14</w:t>
        </w:r>
        <w:r>
          <w:rPr>
            <w:noProof/>
            <w:webHidden/>
          </w:rPr>
          <w:fldChar w:fldCharType="end"/>
        </w:r>
      </w:hyperlink>
    </w:p>
    <w:p w14:paraId="27056592" w14:textId="5EE8B23A" w:rsidR="005A559B" w:rsidRDefault="005A559B">
      <w:pPr>
        <w:pStyle w:val="TOC3"/>
        <w:rPr>
          <w:rFonts w:asciiTheme="minorHAnsi" w:eastAsiaTheme="minorEastAsia" w:hAnsiTheme="minorHAnsi" w:cstheme="minorBidi"/>
          <w:noProof/>
          <w:kern w:val="2"/>
          <w14:ligatures w14:val="standardContextual"/>
        </w:rPr>
      </w:pPr>
      <w:hyperlink w:anchor="_Toc228288434" w:history="1">
        <w:r w:rsidRPr="00894396">
          <w:rPr>
            <w:rStyle w:val="Hyperlink"/>
            <w:noProof/>
          </w:rPr>
          <w:t>Evapotranspiration</w:t>
        </w:r>
        <w:r>
          <w:rPr>
            <w:noProof/>
            <w:webHidden/>
          </w:rPr>
          <w:tab/>
        </w:r>
        <w:r>
          <w:rPr>
            <w:noProof/>
            <w:webHidden/>
          </w:rPr>
          <w:fldChar w:fldCharType="begin"/>
        </w:r>
        <w:r>
          <w:rPr>
            <w:noProof/>
            <w:webHidden/>
          </w:rPr>
          <w:instrText xml:space="preserve"> PAGEREF _Toc228288434 \h </w:instrText>
        </w:r>
        <w:r>
          <w:rPr>
            <w:noProof/>
            <w:webHidden/>
          </w:rPr>
        </w:r>
        <w:r>
          <w:rPr>
            <w:noProof/>
            <w:webHidden/>
          </w:rPr>
          <w:fldChar w:fldCharType="separate"/>
        </w:r>
        <w:r>
          <w:rPr>
            <w:noProof/>
            <w:webHidden/>
          </w:rPr>
          <w:t>17</w:t>
        </w:r>
        <w:r>
          <w:rPr>
            <w:noProof/>
            <w:webHidden/>
          </w:rPr>
          <w:fldChar w:fldCharType="end"/>
        </w:r>
      </w:hyperlink>
    </w:p>
    <w:p w14:paraId="15166596" w14:textId="44AD8885" w:rsidR="005A559B" w:rsidRDefault="005A559B">
      <w:pPr>
        <w:pStyle w:val="TOC3"/>
        <w:rPr>
          <w:rFonts w:asciiTheme="minorHAnsi" w:eastAsiaTheme="minorEastAsia" w:hAnsiTheme="minorHAnsi" w:cstheme="minorBidi"/>
          <w:noProof/>
          <w:kern w:val="2"/>
          <w14:ligatures w14:val="standardContextual"/>
        </w:rPr>
      </w:pPr>
      <w:hyperlink w:anchor="_Toc228288435" w:history="1">
        <w:r w:rsidRPr="00894396">
          <w:rPr>
            <w:rStyle w:val="Hyperlink"/>
            <w:noProof/>
          </w:rPr>
          <w:t>Water Balance</w:t>
        </w:r>
        <w:r>
          <w:rPr>
            <w:noProof/>
            <w:webHidden/>
          </w:rPr>
          <w:tab/>
        </w:r>
        <w:r>
          <w:rPr>
            <w:noProof/>
            <w:webHidden/>
          </w:rPr>
          <w:fldChar w:fldCharType="begin"/>
        </w:r>
        <w:r>
          <w:rPr>
            <w:noProof/>
            <w:webHidden/>
          </w:rPr>
          <w:instrText xml:space="preserve"> PAGEREF _Toc228288435 \h </w:instrText>
        </w:r>
        <w:r>
          <w:rPr>
            <w:noProof/>
            <w:webHidden/>
          </w:rPr>
        </w:r>
        <w:r>
          <w:rPr>
            <w:noProof/>
            <w:webHidden/>
          </w:rPr>
          <w:fldChar w:fldCharType="separate"/>
        </w:r>
        <w:r>
          <w:rPr>
            <w:noProof/>
            <w:webHidden/>
          </w:rPr>
          <w:t>20</w:t>
        </w:r>
        <w:r>
          <w:rPr>
            <w:noProof/>
            <w:webHidden/>
          </w:rPr>
          <w:fldChar w:fldCharType="end"/>
        </w:r>
      </w:hyperlink>
    </w:p>
    <w:p w14:paraId="1743F347" w14:textId="569AF175" w:rsidR="005A559B" w:rsidRDefault="005A559B">
      <w:pPr>
        <w:pStyle w:val="TOC3"/>
        <w:rPr>
          <w:rFonts w:asciiTheme="minorHAnsi" w:eastAsiaTheme="minorEastAsia" w:hAnsiTheme="minorHAnsi" w:cstheme="minorBidi"/>
          <w:noProof/>
          <w:kern w:val="2"/>
          <w14:ligatures w14:val="standardContextual"/>
        </w:rPr>
      </w:pPr>
      <w:hyperlink w:anchor="_Toc228288436" w:history="1">
        <w:r w:rsidRPr="00894396">
          <w:rPr>
            <w:rStyle w:val="Hyperlink"/>
            <w:noProof/>
          </w:rPr>
          <w:t>Drought Monitoring</w:t>
        </w:r>
        <w:r>
          <w:rPr>
            <w:noProof/>
            <w:webHidden/>
          </w:rPr>
          <w:tab/>
        </w:r>
        <w:r>
          <w:rPr>
            <w:noProof/>
            <w:webHidden/>
          </w:rPr>
          <w:fldChar w:fldCharType="begin"/>
        </w:r>
        <w:r>
          <w:rPr>
            <w:noProof/>
            <w:webHidden/>
          </w:rPr>
          <w:instrText xml:space="preserve"> PAGEREF _Toc228288436 \h </w:instrText>
        </w:r>
        <w:r>
          <w:rPr>
            <w:noProof/>
            <w:webHidden/>
          </w:rPr>
        </w:r>
        <w:r>
          <w:rPr>
            <w:noProof/>
            <w:webHidden/>
          </w:rPr>
          <w:fldChar w:fldCharType="separate"/>
        </w:r>
        <w:r>
          <w:rPr>
            <w:noProof/>
            <w:webHidden/>
          </w:rPr>
          <w:t>22</w:t>
        </w:r>
        <w:r>
          <w:rPr>
            <w:noProof/>
            <w:webHidden/>
          </w:rPr>
          <w:fldChar w:fldCharType="end"/>
        </w:r>
      </w:hyperlink>
    </w:p>
    <w:p w14:paraId="24D89EB8" w14:textId="2E882380" w:rsidR="005A559B" w:rsidRDefault="005A559B">
      <w:pPr>
        <w:pStyle w:val="TOC3"/>
        <w:rPr>
          <w:rFonts w:asciiTheme="minorHAnsi" w:eastAsiaTheme="minorEastAsia" w:hAnsiTheme="minorHAnsi" w:cstheme="minorBidi"/>
          <w:noProof/>
          <w:kern w:val="2"/>
          <w14:ligatures w14:val="standardContextual"/>
        </w:rPr>
      </w:pPr>
      <w:hyperlink w:anchor="_Toc228288437" w:history="1">
        <w:r w:rsidRPr="00894396">
          <w:rPr>
            <w:rStyle w:val="Hyperlink"/>
            <w:noProof/>
          </w:rPr>
          <w:t>Automated 7-Day Precipitation Forecasting</w:t>
        </w:r>
        <w:r>
          <w:rPr>
            <w:noProof/>
            <w:webHidden/>
          </w:rPr>
          <w:tab/>
        </w:r>
        <w:r>
          <w:rPr>
            <w:noProof/>
            <w:webHidden/>
          </w:rPr>
          <w:fldChar w:fldCharType="begin"/>
        </w:r>
        <w:r>
          <w:rPr>
            <w:noProof/>
            <w:webHidden/>
          </w:rPr>
          <w:instrText xml:space="preserve"> PAGEREF _Toc228288437 \h </w:instrText>
        </w:r>
        <w:r>
          <w:rPr>
            <w:noProof/>
            <w:webHidden/>
          </w:rPr>
        </w:r>
        <w:r>
          <w:rPr>
            <w:noProof/>
            <w:webHidden/>
          </w:rPr>
          <w:fldChar w:fldCharType="separate"/>
        </w:r>
        <w:r>
          <w:rPr>
            <w:noProof/>
            <w:webHidden/>
          </w:rPr>
          <w:t>25</w:t>
        </w:r>
        <w:r>
          <w:rPr>
            <w:noProof/>
            <w:webHidden/>
          </w:rPr>
          <w:fldChar w:fldCharType="end"/>
        </w:r>
      </w:hyperlink>
    </w:p>
    <w:p w14:paraId="254DCDF7" w14:textId="59DEB55E" w:rsidR="005A559B" w:rsidRDefault="005A559B">
      <w:pPr>
        <w:pStyle w:val="TOC3"/>
        <w:rPr>
          <w:rFonts w:asciiTheme="minorHAnsi" w:eastAsiaTheme="minorEastAsia" w:hAnsiTheme="minorHAnsi" w:cstheme="minorBidi"/>
          <w:noProof/>
          <w:kern w:val="2"/>
          <w14:ligatures w14:val="standardContextual"/>
        </w:rPr>
      </w:pPr>
      <w:hyperlink w:anchor="_Toc228288438" w:history="1">
        <w:r w:rsidRPr="00894396">
          <w:rPr>
            <w:rStyle w:val="Hyperlink"/>
            <w:noProof/>
          </w:rPr>
          <w:t>Seismicity</w:t>
        </w:r>
        <w:r>
          <w:rPr>
            <w:noProof/>
            <w:webHidden/>
          </w:rPr>
          <w:tab/>
        </w:r>
        <w:r>
          <w:rPr>
            <w:noProof/>
            <w:webHidden/>
          </w:rPr>
          <w:fldChar w:fldCharType="begin"/>
        </w:r>
        <w:r>
          <w:rPr>
            <w:noProof/>
            <w:webHidden/>
          </w:rPr>
          <w:instrText xml:space="preserve"> PAGEREF _Toc228288438 \h </w:instrText>
        </w:r>
        <w:r>
          <w:rPr>
            <w:noProof/>
            <w:webHidden/>
          </w:rPr>
        </w:r>
        <w:r>
          <w:rPr>
            <w:noProof/>
            <w:webHidden/>
          </w:rPr>
          <w:fldChar w:fldCharType="separate"/>
        </w:r>
        <w:r>
          <w:rPr>
            <w:noProof/>
            <w:webHidden/>
          </w:rPr>
          <w:t>35</w:t>
        </w:r>
        <w:r>
          <w:rPr>
            <w:noProof/>
            <w:webHidden/>
          </w:rPr>
          <w:fldChar w:fldCharType="end"/>
        </w:r>
      </w:hyperlink>
    </w:p>
    <w:p w14:paraId="34E33D65" w14:textId="7E4279EB" w:rsidR="005A559B" w:rsidRDefault="005A559B">
      <w:pPr>
        <w:pStyle w:val="TOC2"/>
        <w:rPr>
          <w:rFonts w:asciiTheme="minorHAnsi" w:eastAsiaTheme="minorEastAsia" w:hAnsiTheme="minorHAnsi" w:cstheme="minorBidi"/>
          <w:noProof/>
          <w:kern w:val="2"/>
          <w14:ligatures w14:val="standardContextual"/>
        </w:rPr>
      </w:pPr>
      <w:hyperlink w:anchor="_Toc228288439" w:history="1">
        <w:r w:rsidRPr="00894396">
          <w:rPr>
            <w:rStyle w:val="Hyperlink"/>
            <w:noProof/>
          </w:rPr>
          <w:t>Island of Pohnpei</w:t>
        </w:r>
        <w:r>
          <w:rPr>
            <w:noProof/>
            <w:webHidden/>
          </w:rPr>
          <w:tab/>
        </w:r>
        <w:r>
          <w:rPr>
            <w:noProof/>
            <w:webHidden/>
          </w:rPr>
          <w:fldChar w:fldCharType="begin"/>
        </w:r>
        <w:r>
          <w:rPr>
            <w:noProof/>
            <w:webHidden/>
          </w:rPr>
          <w:instrText xml:space="preserve"> PAGEREF _Toc228288439 \h </w:instrText>
        </w:r>
        <w:r>
          <w:rPr>
            <w:noProof/>
            <w:webHidden/>
          </w:rPr>
        </w:r>
        <w:r>
          <w:rPr>
            <w:noProof/>
            <w:webHidden/>
          </w:rPr>
          <w:fldChar w:fldCharType="separate"/>
        </w:r>
        <w:r>
          <w:rPr>
            <w:noProof/>
            <w:webHidden/>
          </w:rPr>
          <w:t>35</w:t>
        </w:r>
        <w:r>
          <w:rPr>
            <w:noProof/>
            <w:webHidden/>
          </w:rPr>
          <w:fldChar w:fldCharType="end"/>
        </w:r>
      </w:hyperlink>
    </w:p>
    <w:p w14:paraId="0CB71C2B" w14:textId="1ED5A67B" w:rsidR="005A559B" w:rsidRDefault="005A559B">
      <w:pPr>
        <w:pStyle w:val="TOC3"/>
        <w:rPr>
          <w:rFonts w:asciiTheme="minorHAnsi" w:eastAsiaTheme="minorEastAsia" w:hAnsiTheme="minorHAnsi" w:cstheme="minorBidi"/>
          <w:noProof/>
          <w:kern w:val="2"/>
          <w14:ligatures w14:val="standardContextual"/>
        </w:rPr>
      </w:pPr>
      <w:hyperlink w:anchor="_Toc228288440" w:history="1">
        <w:r w:rsidRPr="00894396">
          <w:rPr>
            <w:rStyle w:val="Hyperlink"/>
            <w:noProof/>
          </w:rPr>
          <w:t>Precipitation</w:t>
        </w:r>
        <w:r>
          <w:rPr>
            <w:noProof/>
            <w:webHidden/>
          </w:rPr>
          <w:tab/>
        </w:r>
        <w:r>
          <w:rPr>
            <w:noProof/>
            <w:webHidden/>
          </w:rPr>
          <w:fldChar w:fldCharType="begin"/>
        </w:r>
        <w:r>
          <w:rPr>
            <w:noProof/>
            <w:webHidden/>
          </w:rPr>
          <w:instrText xml:space="preserve"> PAGEREF _Toc228288440 \h </w:instrText>
        </w:r>
        <w:r>
          <w:rPr>
            <w:noProof/>
            <w:webHidden/>
          </w:rPr>
        </w:r>
        <w:r>
          <w:rPr>
            <w:noProof/>
            <w:webHidden/>
          </w:rPr>
          <w:fldChar w:fldCharType="separate"/>
        </w:r>
        <w:r>
          <w:rPr>
            <w:noProof/>
            <w:webHidden/>
          </w:rPr>
          <w:t>37</w:t>
        </w:r>
        <w:r>
          <w:rPr>
            <w:noProof/>
            <w:webHidden/>
          </w:rPr>
          <w:fldChar w:fldCharType="end"/>
        </w:r>
      </w:hyperlink>
    </w:p>
    <w:p w14:paraId="67C0543E" w14:textId="62FA6130" w:rsidR="005A559B" w:rsidRDefault="005A559B">
      <w:pPr>
        <w:pStyle w:val="TOC3"/>
        <w:rPr>
          <w:rFonts w:asciiTheme="minorHAnsi" w:eastAsiaTheme="minorEastAsia" w:hAnsiTheme="minorHAnsi" w:cstheme="minorBidi"/>
          <w:noProof/>
          <w:kern w:val="2"/>
          <w14:ligatures w14:val="standardContextual"/>
        </w:rPr>
      </w:pPr>
      <w:hyperlink w:anchor="_Toc228288441" w:history="1">
        <w:r w:rsidRPr="00894396">
          <w:rPr>
            <w:rStyle w:val="Hyperlink"/>
            <w:noProof/>
          </w:rPr>
          <w:t>Evapotranspiration</w:t>
        </w:r>
        <w:r>
          <w:rPr>
            <w:noProof/>
            <w:webHidden/>
          </w:rPr>
          <w:tab/>
        </w:r>
        <w:r>
          <w:rPr>
            <w:noProof/>
            <w:webHidden/>
          </w:rPr>
          <w:fldChar w:fldCharType="begin"/>
        </w:r>
        <w:r>
          <w:rPr>
            <w:noProof/>
            <w:webHidden/>
          </w:rPr>
          <w:instrText xml:space="preserve"> PAGEREF _Toc228288441 \h </w:instrText>
        </w:r>
        <w:r>
          <w:rPr>
            <w:noProof/>
            <w:webHidden/>
          </w:rPr>
        </w:r>
        <w:r>
          <w:rPr>
            <w:noProof/>
            <w:webHidden/>
          </w:rPr>
          <w:fldChar w:fldCharType="separate"/>
        </w:r>
        <w:r>
          <w:rPr>
            <w:noProof/>
            <w:webHidden/>
          </w:rPr>
          <w:t>39</w:t>
        </w:r>
        <w:r>
          <w:rPr>
            <w:noProof/>
            <w:webHidden/>
          </w:rPr>
          <w:fldChar w:fldCharType="end"/>
        </w:r>
      </w:hyperlink>
    </w:p>
    <w:p w14:paraId="586CB852" w14:textId="5FA0FF00" w:rsidR="005A559B" w:rsidRDefault="005A559B">
      <w:pPr>
        <w:pStyle w:val="TOC3"/>
        <w:rPr>
          <w:rFonts w:asciiTheme="minorHAnsi" w:eastAsiaTheme="minorEastAsia" w:hAnsiTheme="minorHAnsi" w:cstheme="minorBidi"/>
          <w:noProof/>
          <w:kern w:val="2"/>
          <w14:ligatures w14:val="standardContextual"/>
        </w:rPr>
      </w:pPr>
      <w:hyperlink w:anchor="_Toc228288442" w:history="1">
        <w:r w:rsidRPr="00894396">
          <w:rPr>
            <w:rStyle w:val="Hyperlink"/>
            <w:noProof/>
          </w:rPr>
          <w:t>Water Balance</w:t>
        </w:r>
        <w:r>
          <w:rPr>
            <w:noProof/>
            <w:webHidden/>
          </w:rPr>
          <w:tab/>
        </w:r>
        <w:r>
          <w:rPr>
            <w:noProof/>
            <w:webHidden/>
          </w:rPr>
          <w:fldChar w:fldCharType="begin"/>
        </w:r>
        <w:r>
          <w:rPr>
            <w:noProof/>
            <w:webHidden/>
          </w:rPr>
          <w:instrText xml:space="preserve"> PAGEREF _Toc228288442 \h </w:instrText>
        </w:r>
        <w:r>
          <w:rPr>
            <w:noProof/>
            <w:webHidden/>
          </w:rPr>
        </w:r>
        <w:r>
          <w:rPr>
            <w:noProof/>
            <w:webHidden/>
          </w:rPr>
          <w:fldChar w:fldCharType="separate"/>
        </w:r>
        <w:r>
          <w:rPr>
            <w:noProof/>
            <w:webHidden/>
          </w:rPr>
          <w:t>42</w:t>
        </w:r>
        <w:r>
          <w:rPr>
            <w:noProof/>
            <w:webHidden/>
          </w:rPr>
          <w:fldChar w:fldCharType="end"/>
        </w:r>
      </w:hyperlink>
    </w:p>
    <w:p w14:paraId="5DE80DE9" w14:textId="0A516EED" w:rsidR="005A559B" w:rsidRDefault="005A559B">
      <w:pPr>
        <w:pStyle w:val="TOC3"/>
        <w:rPr>
          <w:rFonts w:asciiTheme="minorHAnsi" w:eastAsiaTheme="minorEastAsia" w:hAnsiTheme="minorHAnsi" w:cstheme="minorBidi"/>
          <w:noProof/>
          <w:kern w:val="2"/>
          <w14:ligatures w14:val="standardContextual"/>
        </w:rPr>
      </w:pPr>
      <w:hyperlink w:anchor="_Toc228288443" w:history="1">
        <w:r w:rsidRPr="00894396">
          <w:rPr>
            <w:rStyle w:val="Hyperlink"/>
            <w:noProof/>
          </w:rPr>
          <w:t>Drought Monitoring</w:t>
        </w:r>
        <w:r>
          <w:rPr>
            <w:noProof/>
            <w:webHidden/>
          </w:rPr>
          <w:tab/>
        </w:r>
        <w:r>
          <w:rPr>
            <w:noProof/>
            <w:webHidden/>
          </w:rPr>
          <w:fldChar w:fldCharType="begin"/>
        </w:r>
        <w:r>
          <w:rPr>
            <w:noProof/>
            <w:webHidden/>
          </w:rPr>
          <w:instrText xml:space="preserve"> PAGEREF _Toc228288443 \h </w:instrText>
        </w:r>
        <w:r>
          <w:rPr>
            <w:noProof/>
            <w:webHidden/>
          </w:rPr>
        </w:r>
        <w:r>
          <w:rPr>
            <w:noProof/>
            <w:webHidden/>
          </w:rPr>
          <w:fldChar w:fldCharType="separate"/>
        </w:r>
        <w:r>
          <w:rPr>
            <w:noProof/>
            <w:webHidden/>
          </w:rPr>
          <w:t>44</w:t>
        </w:r>
        <w:r>
          <w:rPr>
            <w:noProof/>
            <w:webHidden/>
          </w:rPr>
          <w:fldChar w:fldCharType="end"/>
        </w:r>
      </w:hyperlink>
    </w:p>
    <w:p w14:paraId="2A6A819B" w14:textId="6FA83E8B" w:rsidR="005A559B" w:rsidRDefault="005A559B">
      <w:pPr>
        <w:pStyle w:val="TOC3"/>
        <w:rPr>
          <w:rFonts w:asciiTheme="minorHAnsi" w:eastAsiaTheme="minorEastAsia" w:hAnsiTheme="minorHAnsi" w:cstheme="minorBidi"/>
          <w:noProof/>
          <w:kern w:val="2"/>
          <w14:ligatures w14:val="standardContextual"/>
        </w:rPr>
      </w:pPr>
      <w:hyperlink w:anchor="_Toc228288444" w:history="1">
        <w:r w:rsidRPr="00894396">
          <w:rPr>
            <w:rStyle w:val="Hyperlink"/>
            <w:noProof/>
          </w:rPr>
          <w:t>Seismicity</w:t>
        </w:r>
        <w:r>
          <w:rPr>
            <w:noProof/>
            <w:webHidden/>
          </w:rPr>
          <w:tab/>
        </w:r>
        <w:r>
          <w:rPr>
            <w:noProof/>
            <w:webHidden/>
          </w:rPr>
          <w:fldChar w:fldCharType="begin"/>
        </w:r>
        <w:r>
          <w:rPr>
            <w:noProof/>
            <w:webHidden/>
          </w:rPr>
          <w:instrText xml:space="preserve"> PAGEREF _Toc228288444 \h </w:instrText>
        </w:r>
        <w:r>
          <w:rPr>
            <w:noProof/>
            <w:webHidden/>
          </w:rPr>
        </w:r>
        <w:r>
          <w:rPr>
            <w:noProof/>
            <w:webHidden/>
          </w:rPr>
          <w:fldChar w:fldCharType="separate"/>
        </w:r>
        <w:r>
          <w:rPr>
            <w:noProof/>
            <w:webHidden/>
          </w:rPr>
          <w:t>46</w:t>
        </w:r>
        <w:r>
          <w:rPr>
            <w:noProof/>
            <w:webHidden/>
          </w:rPr>
          <w:fldChar w:fldCharType="end"/>
        </w:r>
      </w:hyperlink>
    </w:p>
    <w:p w14:paraId="52FAE89B" w14:textId="1D752609" w:rsidR="005A559B" w:rsidRDefault="005A559B">
      <w:pPr>
        <w:pStyle w:val="TOC2"/>
        <w:rPr>
          <w:rFonts w:asciiTheme="minorHAnsi" w:eastAsiaTheme="minorEastAsia" w:hAnsiTheme="minorHAnsi" w:cstheme="minorBidi"/>
          <w:noProof/>
          <w:kern w:val="2"/>
          <w14:ligatures w14:val="standardContextual"/>
        </w:rPr>
      </w:pPr>
      <w:hyperlink w:anchor="_Toc228288445" w:history="1">
        <w:r w:rsidRPr="00894396">
          <w:rPr>
            <w:rStyle w:val="Hyperlink"/>
            <w:noProof/>
          </w:rPr>
          <w:t>Island of Yap</w:t>
        </w:r>
        <w:r>
          <w:rPr>
            <w:noProof/>
            <w:webHidden/>
          </w:rPr>
          <w:tab/>
        </w:r>
        <w:r>
          <w:rPr>
            <w:noProof/>
            <w:webHidden/>
          </w:rPr>
          <w:fldChar w:fldCharType="begin"/>
        </w:r>
        <w:r>
          <w:rPr>
            <w:noProof/>
            <w:webHidden/>
          </w:rPr>
          <w:instrText xml:space="preserve"> PAGEREF _Toc228288445 \h </w:instrText>
        </w:r>
        <w:r>
          <w:rPr>
            <w:noProof/>
            <w:webHidden/>
          </w:rPr>
        </w:r>
        <w:r>
          <w:rPr>
            <w:noProof/>
            <w:webHidden/>
          </w:rPr>
          <w:fldChar w:fldCharType="separate"/>
        </w:r>
        <w:r>
          <w:rPr>
            <w:noProof/>
            <w:webHidden/>
          </w:rPr>
          <w:t>47</w:t>
        </w:r>
        <w:r>
          <w:rPr>
            <w:noProof/>
            <w:webHidden/>
          </w:rPr>
          <w:fldChar w:fldCharType="end"/>
        </w:r>
      </w:hyperlink>
    </w:p>
    <w:p w14:paraId="7EBA5F37" w14:textId="01F14B11" w:rsidR="005A559B" w:rsidRDefault="005A559B">
      <w:pPr>
        <w:pStyle w:val="TOC3"/>
        <w:rPr>
          <w:rFonts w:asciiTheme="minorHAnsi" w:eastAsiaTheme="minorEastAsia" w:hAnsiTheme="minorHAnsi" w:cstheme="minorBidi"/>
          <w:noProof/>
          <w:kern w:val="2"/>
          <w14:ligatures w14:val="standardContextual"/>
        </w:rPr>
      </w:pPr>
      <w:hyperlink w:anchor="_Toc228288446" w:history="1">
        <w:r w:rsidRPr="00894396">
          <w:rPr>
            <w:rStyle w:val="Hyperlink"/>
            <w:noProof/>
          </w:rPr>
          <w:t>Precipitation</w:t>
        </w:r>
        <w:r>
          <w:rPr>
            <w:noProof/>
            <w:webHidden/>
          </w:rPr>
          <w:tab/>
        </w:r>
        <w:r>
          <w:rPr>
            <w:noProof/>
            <w:webHidden/>
          </w:rPr>
          <w:fldChar w:fldCharType="begin"/>
        </w:r>
        <w:r>
          <w:rPr>
            <w:noProof/>
            <w:webHidden/>
          </w:rPr>
          <w:instrText xml:space="preserve"> PAGEREF _Toc228288446 \h </w:instrText>
        </w:r>
        <w:r>
          <w:rPr>
            <w:noProof/>
            <w:webHidden/>
          </w:rPr>
        </w:r>
        <w:r>
          <w:rPr>
            <w:noProof/>
            <w:webHidden/>
          </w:rPr>
          <w:fldChar w:fldCharType="separate"/>
        </w:r>
        <w:r>
          <w:rPr>
            <w:noProof/>
            <w:webHidden/>
          </w:rPr>
          <w:t>49</w:t>
        </w:r>
        <w:r>
          <w:rPr>
            <w:noProof/>
            <w:webHidden/>
          </w:rPr>
          <w:fldChar w:fldCharType="end"/>
        </w:r>
      </w:hyperlink>
    </w:p>
    <w:p w14:paraId="4EE3CA2C" w14:textId="4FD76121" w:rsidR="005A559B" w:rsidRDefault="005A559B">
      <w:pPr>
        <w:pStyle w:val="TOC3"/>
        <w:rPr>
          <w:rFonts w:asciiTheme="minorHAnsi" w:eastAsiaTheme="minorEastAsia" w:hAnsiTheme="minorHAnsi" w:cstheme="minorBidi"/>
          <w:noProof/>
          <w:kern w:val="2"/>
          <w14:ligatures w14:val="standardContextual"/>
        </w:rPr>
      </w:pPr>
      <w:hyperlink w:anchor="_Toc228288447" w:history="1">
        <w:r w:rsidRPr="00894396">
          <w:rPr>
            <w:rStyle w:val="Hyperlink"/>
            <w:noProof/>
          </w:rPr>
          <w:t>Evapotranspiration</w:t>
        </w:r>
        <w:r>
          <w:rPr>
            <w:noProof/>
            <w:webHidden/>
          </w:rPr>
          <w:tab/>
        </w:r>
        <w:r>
          <w:rPr>
            <w:noProof/>
            <w:webHidden/>
          </w:rPr>
          <w:fldChar w:fldCharType="begin"/>
        </w:r>
        <w:r>
          <w:rPr>
            <w:noProof/>
            <w:webHidden/>
          </w:rPr>
          <w:instrText xml:space="preserve"> PAGEREF _Toc228288447 \h </w:instrText>
        </w:r>
        <w:r>
          <w:rPr>
            <w:noProof/>
            <w:webHidden/>
          </w:rPr>
        </w:r>
        <w:r>
          <w:rPr>
            <w:noProof/>
            <w:webHidden/>
          </w:rPr>
          <w:fldChar w:fldCharType="separate"/>
        </w:r>
        <w:r>
          <w:rPr>
            <w:noProof/>
            <w:webHidden/>
          </w:rPr>
          <w:t>51</w:t>
        </w:r>
        <w:r>
          <w:rPr>
            <w:noProof/>
            <w:webHidden/>
          </w:rPr>
          <w:fldChar w:fldCharType="end"/>
        </w:r>
      </w:hyperlink>
    </w:p>
    <w:p w14:paraId="13CFEA4E" w14:textId="29465E9E" w:rsidR="005A559B" w:rsidRDefault="005A559B">
      <w:pPr>
        <w:pStyle w:val="TOC3"/>
        <w:rPr>
          <w:rFonts w:asciiTheme="minorHAnsi" w:eastAsiaTheme="minorEastAsia" w:hAnsiTheme="minorHAnsi" w:cstheme="minorBidi"/>
          <w:noProof/>
          <w:kern w:val="2"/>
          <w14:ligatures w14:val="standardContextual"/>
        </w:rPr>
      </w:pPr>
      <w:hyperlink w:anchor="_Toc228288448" w:history="1">
        <w:r w:rsidRPr="00894396">
          <w:rPr>
            <w:rStyle w:val="Hyperlink"/>
            <w:noProof/>
          </w:rPr>
          <w:t>Water Balance</w:t>
        </w:r>
        <w:r>
          <w:rPr>
            <w:noProof/>
            <w:webHidden/>
          </w:rPr>
          <w:tab/>
        </w:r>
        <w:r>
          <w:rPr>
            <w:noProof/>
            <w:webHidden/>
          </w:rPr>
          <w:fldChar w:fldCharType="begin"/>
        </w:r>
        <w:r>
          <w:rPr>
            <w:noProof/>
            <w:webHidden/>
          </w:rPr>
          <w:instrText xml:space="preserve"> PAGEREF _Toc228288448 \h </w:instrText>
        </w:r>
        <w:r>
          <w:rPr>
            <w:noProof/>
            <w:webHidden/>
          </w:rPr>
        </w:r>
        <w:r>
          <w:rPr>
            <w:noProof/>
            <w:webHidden/>
          </w:rPr>
          <w:fldChar w:fldCharType="separate"/>
        </w:r>
        <w:r>
          <w:rPr>
            <w:noProof/>
            <w:webHidden/>
          </w:rPr>
          <w:t>54</w:t>
        </w:r>
        <w:r>
          <w:rPr>
            <w:noProof/>
            <w:webHidden/>
          </w:rPr>
          <w:fldChar w:fldCharType="end"/>
        </w:r>
      </w:hyperlink>
    </w:p>
    <w:p w14:paraId="2A5C7087" w14:textId="5D4ABA06" w:rsidR="005A559B" w:rsidRDefault="005A559B">
      <w:pPr>
        <w:pStyle w:val="TOC3"/>
        <w:rPr>
          <w:rFonts w:asciiTheme="minorHAnsi" w:eastAsiaTheme="minorEastAsia" w:hAnsiTheme="minorHAnsi" w:cstheme="minorBidi"/>
          <w:noProof/>
          <w:kern w:val="2"/>
          <w14:ligatures w14:val="standardContextual"/>
        </w:rPr>
      </w:pPr>
      <w:hyperlink w:anchor="_Toc228288449" w:history="1">
        <w:r w:rsidRPr="00894396">
          <w:rPr>
            <w:rStyle w:val="Hyperlink"/>
            <w:noProof/>
          </w:rPr>
          <w:t>Drought Monitoring</w:t>
        </w:r>
        <w:r>
          <w:rPr>
            <w:noProof/>
            <w:webHidden/>
          </w:rPr>
          <w:tab/>
        </w:r>
        <w:r>
          <w:rPr>
            <w:noProof/>
            <w:webHidden/>
          </w:rPr>
          <w:fldChar w:fldCharType="begin"/>
        </w:r>
        <w:r>
          <w:rPr>
            <w:noProof/>
            <w:webHidden/>
          </w:rPr>
          <w:instrText xml:space="preserve"> PAGEREF _Toc228288449 \h </w:instrText>
        </w:r>
        <w:r>
          <w:rPr>
            <w:noProof/>
            <w:webHidden/>
          </w:rPr>
        </w:r>
        <w:r>
          <w:rPr>
            <w:noProof/>
            <w:webHidden/>
          </w:rPr>
          <w:fldChar w:fldCharType="separate"/>
        </w:r>
        <w:r>
          <w:rPr>
            <w:noProof/>
            <w:webHidden/>
          </w:rPr>
          <w:t>57</w:t>
        </w:r>
        <w:r>
          <w:rPr>
            <w:noProof/>
            <w:webHidden/>
          </w:rPr>
          <w:fldChar w:fldCharType="end"/>
        </w:r>
      </w:hyperlink>
    </w:p>
    <w:p w14:paraId="3755BBBE" w14:textId="2F86A212" w:rsidR="005A559B" w:rsidRDefault="005A559B">
      <w:pPr>
        <w:pStyle w:val="TOC3"/>
        <w:rPr>
          <w:rFonts w:asciiTheme="minorHAnsi" w:eastAsiaTheme="minorEastAsia" w:hAnsiTheme="minorHAnsi" w:cstheme="minorBidi"/>
          <w:noProof/>
          <w:kern w:val="2"/>
          <w14:ligatures w14:val="standardContextual"/>
        </w:rPr>
      </w:pPr>
      <w:hyperlink w:anchor="_Toc228288450" w:history="1">
        <w:r w:rsidRPr="00894396">
          <w:rPr>
            <w:rStyle w:val="Hyperlink"/>
            <w:noProof/>
          </w:rPr>
          <w:t>Seismicity</w:t>
        </w:r>
        <w:r>
          <w:rPr>
            <w:noProof/>
            <w:webHidden/>
          </w:rPr>
          <w:tab/>
        </w:r>
        <w:r>
          <w:rPr>
            <w:noProof/>
            <w:webHidden/>
          </w:rPr>
          <w:fldChar w:fldCharType="begin"/>
        </w:r>
        <w:r>
          <w:rPr>
            <w:noProof/>
            <w:webHidden/>
          </w:rPr>
          <w:instrText xml:space="preserve"> PAGEREF _Toc228288450 \h </w:instrText>
        </w:r>
        <w:r>
          <w:rPr>
            <w:noProof/>
            <w:webHidden/>
          </w:rPr>
        </w:r>
        <w:r>
          <w:rPr>
            <w:noProof/>
            <w:webHidden/>
          </w:rPr>
          <w:fldChar w:fldCharType="separate"/>
        </w:r>
        <w:r>
          <w:rPr>
            <w:noProof/>
            <w:webHidden/>
          </w:rPr>
          <w:t>60</w:t>
        </w:r>
        <w:r>
          <w:rPr>
            <w:noProof/>
            <w:webHidden/>
          </w:rPr>
          <w:fldChar w:fldCharType="end"/>
        </w:r>
      </w:hyperlink>
    </w:p>
    <w:p w14:paraId="6F10338C" w14:textId="4EC7D7BA" w:rsidR="005A559B" w:rsidRDefault="005A559B">
      <w:pPr>
        <w:pStyle w:val="TOC2"/>
        <w:rPr>
          <w:rFonts w:asciiTheme="minorHAnsi" w:eastAsiaTheme="minorEastAsia" w:hAnsiTheme="minorHAnsi" w:cstheme="minorBidi"/>
          <w:noProof/>
          <w:kern w:val="2"/>
          <w14:ligatures w14:val="standardContextual"/>
        </w:rPr>
      </w:pPr>
      <w:hyperlink w:anchor="_Toc228288451" w:history="1">
        <w:r w:rsidRPr="00894396">
          <w:rPr>
            <w:rStyle w:val="Hyperlink"/>
            <w:noProof/>
          </w:rPr>
          <w:t>City of Weno in the Chuuk Lagoon</w:t>
        </w:r>
        <w:r>
          <w:rPr>
            <w:noProof/>
            <w:webHidden/>
          </w:rPr>
          <w:tab/>
        </w:r>
        <w:r>
          <w:rPr>
            <w:noProof/>
            <w:webHidden/>
          </w:rPr>
          <w:fldChar w:fldCharType="begin"/>
        </w:r>
        <w:r>
          <w:rPr>
            <w:noProof/>
            <w:webHidden/>
          </w:rPr>
          <w:instrText xml:space="preserve"> PAGEREF _Toc228288451 \h </w:instrText>
        </w:r>
        <w:r>
          <w:rPr>
            <w:noProof/>
            <w:webHidden/>
          </w:rPr>
        </w:r>
        <w:r>
          <w:rPr>
            <w:noProof/>
            <w:webHidden/>
          </w:rPr>
          <w:fldChar w:fldCharType="separate"/>
        </w:r>
        <w:r>
          <w:rPr>
            <w:noProof/>
            <w:webHidden/>
          </w:rPr>
          <w:t>61</w:t>
        </w:r>
        <w:r>
          <w:rPr>
            <w:noProof/>
            <w:webHidden/>
          </w:rPr>
          <w:fldChar w:fldCharType="end"/>
        </w:r>
      </w:hyperlink>
    </w:p>
    <w:p w14:paraId="5B9685A8" w14:textId="51489A18" w:rsidR="005A559B" w:rsidRDefault="005A559B">
      <w:pPr>
        <w:pStyle w:val="TOC3"/>
        <w:rPr>
          <w:rFonts w:asciiTheme="minorHAnsi" w:eastAsiaTheme="minorEastAsia" w:hAnsiTheme="minorHAnsi" w:cstheme="minorBidi"/>
          <w:noProof/>
          <w:kern w:val="2"/>
          <w14:ligatures w14:val="standardContextual"/>
        </w:rPr>
      </w:pPr>
      <w:hyperlink w:anchor="_Toc228288452" w:history="1">
        <w:r w:rsidRPr="00894396">
          <w:rPr>
            <w:rStyle w:val="Hyperlink"/>
            <w:noProof/>
          </w:rPr>
          <w:t>Precipitation</w:t>
        </w:r>
        <w:r>
          <w:rPr>
            <w:noProof/>
            <w:webHidden/>
          </w:rPr>
          <w:tab/>
        </w:r>
        <w:r>
          <w:rPr>
            <w:noProof/>
            <w:webHidden/>
          </w:rPr>
          <w:fldChar w:fldCharType="begin"/>
        </w:r>
        <w:r>
          <w:rPr>
            <w:noProof/>
            <w:webHidden/>
          </w:rPr>
          <w:instrText xml:space="preserve"> PAGEREF _Toc228288452 \h </w:instrText>
        </w:r>
        <w:r>
          <w:rPr>
            <w:noProof/>
            <w:webHidden/>
          </w:rPr>
        </w:r>
        <w:r>
          <w:rPr>
            <w:noProof/>
            <w:webHidden/>
          </w:rPr>
          <w:fldChar w:fldCharType="separate"/>
        </w:r>
        <w:r>
          <w:rPr>
            <w:noProof/>
            <w:webHidden/>
          </w:rPr>
          <w:t>62</w:t>
        </w:r>
        <w:r>
          <w:rPr>
            <w:noProof/>
            <w:webHidden/>
          </w:rPr>
          <w:fldChar w:fldCharType="end"/>
        </w:r>
      </w:hyperlink>
    </w:p>
    <w:p w14:paraId="38926B5A" w14:textId="31F15CAD" w:rsidR="005A559B" w:rsidRDefault="005A559B">
      <w:pPr>
        <w:pStyle w:val="TOC3"/>
        <w:rPr>
          <w:rFonts w:asciiTheme="minorHAnsi" w:eastAsiaTheme="minorEastAsia" w:hAnsiTheme="minorHAnsi" w:cstheme="minorBidi"/>
          <w:noProof/>
          <w:kern w:val="2"/>
          <w14:ligatures w14:val="standardContextual"/>
        </w:rPr>
      </w:pPr>
      <w:hyperlink w:anchor="_Toc228288453" w:history="1">
        <w:r w:rsidRPr="00894396">
          <w:rPr>
            <w:rStyle w:val="Hyperlink"/>
            <w:noProof/>
          </w:rPr>
          <w:t>Evapotranspiration</w:t>
        </w:r>
        <w:r>
          <w:rPr>
            <w:noProof/>
            <w:webHidden/>
          </w:rPr>
          <w:tab/>
        </w:r>
        <w:r>
          <w:rPr>
            <w:noProof/>
            <w:webHidden/>
          </w:rPr>
          <w:fldChar w:fldCharType="begin"/>
        </w:r>
        <w:r>
          <w:rPr>
            <w:noProof/>
            <w:webHidden/>
          </w:rPr>
          <w:instrText xml:space="preserve"> PAGEREF _Toc228288453 \h </w:instrText>
        </w:r>
        <w:r>
          <w:rPr>
            <w:noProof/>
            <w:webHidden/>
          </w:rPr>
        </w:r>
        <w:r>
          <w:rPr>
            <w:noProof/>
            <w:webHidden/>
          </w:rPr>
          <w:fldChar w:fldCharType="separate"/>
        </w:r>
        <w:r>
          <w:rPr>
            <w:noProof/>
            <w:webHidden/>
          </w:rPr>
          <w:t>65</w:t>
        </w:r>
        <w:r>
          <w:rPr>
            <w:noProof/>
            <w:webHidden/>
          </w:rPr>
          <w:fldChar w:fldCharType="end"/>
        </w:r>
      </w:hyperlink>
    </w:p>
    <w:p w14:paraId="642D360F" w14:textId="4239FC33" w:rsidR="005A559B" w:rsidRDefault="005A559B">
      <w:pPr>
        <w:pStyle w:val="TOC3"/>
        <w:rPr>
          <w:rFonts w:asciiTheme="minorHAnsi" w:eastAsiaTheme="minorEastAsia" w:hAnsiTheme="minorHAnsi" w:cstheme="minorBidi"/>
          <w:noProof/>
          <w:kern w:val="2"/>
          <w14:ligatures w14:val="standardContextual"/>
        </w:rPr>
      </w:pPr>
      <w:hyperlink w:anchor="_Toc228288454" w:history="1">
        <w:r w:rsidRPr="00894396">
          <w:rPr>
            <w:rStyle w:val="Hyperlink"/>
            <w:noProof/>
          </w:rPr>
          <w:t>Water Balance</w:t>
        </w:r>
        <w:r>
          <w:rPr>
            <w:noProof/>
            <w:webHidden/>
          </w:rPr>
          <w:tab/>
        </w:r>
        <w:r>
          <w:rPr>
            <w:noProof/>
            <w:webHidden/>
          </w:rPr>
          <w:fldChar w:fldCharType="begin"/>
        </w:r>
        <w:r>
          <w:rPr>
            <w:noProof/>
            <w:webHidden/>
          </w:rPr>
          <w:instrText xml:space="preserve"> PAGEREF _Toc228288454 \h </w:instrText>
        </w:r>
        <w:r>
          <w:rPr>
            <w:noProof/>
            <w:webHidden/>
          </w:rPr>
        </w:r>
        <w:r>
          <w:rPr>
            <w:noProof/>
            <w:webHidden/>
          </w:rPr>
          <w:fldChar w:fldCharType="separate"/>
        </w:r>
        <w:r>
          <w:rPr>
            <w:noProof/>
            <w:webHidden/>
          </w:rPr>
          <w:t>68</w:t>
        </w:r>
        <w:r>
          <w:rPr>
            <w:noProof/>
            <w:webHidden/>
          </w:rPr>
          <w:fldChar w:fldCharType="end"/>
        </w:r>
      </w:hyperlink>
    </w:p>
    <w:p w14:paraId="357FB989" w14:textId="4F29C5F1" w:rsidR="005A559B" w:rsidRDefault="005A559B">
      <w:pPr>
        <w:pStyle w:val="TOC3"/>
        <w:rPr>
          <w:rFonts w:asciiTheme="minorHAnsi" w:eastAsiaTheme="minorEastAsia" w:hAnsiTheme="minorHAnsi" w:cstheme="minorBidi"/>
          <w:noProof/>
          <w:kern w:val="2"/>
          <w14:ligatures w14:val="standardContextual"/>
        </w:rPr>
      </w:pPr>
      <w:hyperlink w:anchor="_Toc228288455" w:history="1">
        <w:r w:rsidRPr="00894396">
          <w:rPr>
            <w:rStyle w:val="Hyperlink"/>
            <w:noProof/>
          </w:rPr>
          <w:t>Drought Monitoring</w:t>
        </w:r>
        <w:r>
          <w:rPr>
            <w:noProof/>
            <w:webHidden/>
          </w:rPr>
          <w:tab/>
        </w:r>
        <w:r>
          <w:rPr>
            <w:noProof/>
            <w:webHidden/>
          </w:rPr>
          <w:fldChar w:fldCharType="begin"/>
        </w:r>
        <w:r>
          <w:rPr>
            <w:noProof/>
            <w:webHidden/>
          </w:rPr>
          <w:instrText xml:space="preserve"> PAGEREF _Toc228288455 \h </w:instrText>
        </w:r>
        <w:r>
          <w:rPr>
            <w:noProof/>
            <w:webHidden/>
          </w:rPr>
        </w:r>
        <w:r>
          <w:rPr>
            <w:noProof/>
            <w:webHidden/>
          </w:rPr>
          <w:fldChar w:fldCharType="separate"/>
        </w:r>
        <w:r>
          <w:rPr>
            <w:noProof/>
            <w:webHidden/>
          </w:rPr>
          <w:t>71</w:t>
        </w:r>
        <w:r>
          <w:rPr>
            <w:noProof/>
            <w:webHidden/>
          </w:rPr>
          <w:fldChar w:fldCharType="end"/>
        </w:r>
      </w:hyperlink>
    </w:p>
    <w:p w14:paraId="7FFD9FAC" w14:textId="38734585" w:rsidR="005A559B" w:rsidRDefault="005A559B">
      <w:pPr>
        <w:pStyle w:val="TOC3"/>
        <w:rPr>
          <w:rFonts w:asciiTheme="minorHAnsi" w:eastAsiaTheme="minorEastAsia" w:hAnsiTheme="minorHAnsi" w:cstheme="minorBidi"/>
          <w:noProof/>
          <w:kern w:val="2"/>
          <w14:ligatures w14:val="standardContextual"/>
        </w:rPr>
      </w:pPr>
      <w:hyperlink w:anchor="_Toc228288456" w:history="1">
        <w:r w:rsidRPr="00894396">
          <w:rPr>
            <w:rStyle w:val="Hyperlink"/>
            <w:noProof/>
          </w:rPr>
          <w:t>Seismicity</w:t>
        </w:r>
        <w:r>
          <w:rPr>
            <w:noProof/>
            <w:webHidden/>
          </w:rPr>
          <w:tab/>
        </w:r>
        <w:r>
          <w:rPr>
            <w:noProof/>
            <w:webHidden/>
          </w:rPr>
          <w:fldChar w:fldCharType="begin"/>
        </w:r>
        <w:r>
          <w:rPr>
            <w:noProof/>
            <w:webHidden/>
          </w:rPr>
          <w:instrText xml:space="preserve"> PAGEREF _Toc228288456 \h </w:instrText>
        </w:r>
        <w:r>
          <w:rPr>
            <w:noProof/>
            <w:webHidden/>
          </w:rPr>
        </w:r>
        <w:r>
          <w:rPr>
            <w:noProof/>
            <w:webHidden/>
          </w:rPr>
          <w:fldChar w:fldCharType="separate"/>
        </w:r>
        <w:r>
          <w:rPr>
            <w:noProof/>
            <w:webHidden/>
          </w:rPr>
          <w:t>74</w:t>
        </w:r>
        <w:r>
          <w:rPr>
            <w:noProof/>
            <w:webHidden/>
          </w:rPr>
          <w:fldChar w:fldCharType="end"/>
        </w:r>
      </w:hyperlink>
    </w:p>
    <w:p w14:paraId="3FE380B2" w14:textId="3A6B6D39" w:rsidR="005A559B" w:rsidRDefault="005A559B">
      <w:pPr>
        <w:pStyle w:val="TOC1"/>
        <w:rPr>
          <w:rFonts w:asciiTheme="minorHAnsi" w:eastAsiaTheme="minorEastAsia" w:hAnsiTheme="minorHAnsi" w:cstheme="minorBidi"/>
          <w:noProof/>
          <w:kern w:val="2"/>
          <w14:ligatures w14:val="standardContextual"/>
        </w:rPr>
      </w:pPr>
      <w:hyperlink w:anchor="_Toc228288457" w:history="1">
        <w:r w:rsidRPr="00894396">
          <w:rPr>
            <w:rStyle w:val="Hyperlink"/>
            <w:noProof/>
          </w:rPr>
          <w:t>Discussion</w:t>
        </w:r>
        <w:r>
          <w:rPr>
            <w:noProof/>
            <w:webHidden/>
          </w:rPr>
          <w:tab/>
        </w:r>
        <w:r>
          <w:rPr>
            <w:noProof/>
            <w:webHidden/>
          </w:rPr>
          <w:fldChar w:fldCharType="begin"/>
        </w:r>
        <w:r>
          <w:rPr>
            <w:noProof/>
            <w:webHidden/>
          </w:rPr>
          <w:instrText xml:space="preserve"> PAGEREF _Toc228288457 \h </w:instrText>
        </w:r>
        <w:r>
          <w:rPr>
            <w:noProof/>
            <w:webHidden/>
          </w:rPr>
        </w:r>
        <w:r>
          <w:rPr>
            <w:noProof/>
            <w:webHidden/>
          </w:rPr>
          <w:fldChar w:fldCharType="separate"/>
        </w:r>
        <w:r>
          <w:rPr>
            <w:noProof/>
            <w:webHidden/>
          </w:rPr>
          <w:t>74</w:t>
        </w:r>
        <w:r>
          <w:rPr>
            <w:noProof/>
            <w:webHidden/>
          </w:rPr>
          <w:fldChar w:fldCharType="end"/>
        </w:r>
      </w:hyperlink>
    </w:p>
    <w:p w14:paraId="15CD0635" w14:textId="1D8B4CD0" w:rsidR="005A559B" w:rsidRDefault="005A559B">
      <w:pPr>
        <w:pStyle w:val="TOC1"/>
        <w:rPr>
          <w:rFonts w:asciiTheme="minorHAnsi" w:eastAsiaTheme="minorEastAsia" w:hAnsiTheme="minorHAnsi" w:cstheme="minorBidi"/>
          <w:noProof/>
          <w:kern w:val="2"/>
          <w14:ligatures w14:val="standardContextual"/>
        </w:rPr>
      </w:pPr>
      <w:hyperlink w:anchor="_Toc228288458" w:history="1">
        <w:r w:rsidRPr="00894396">
          <w:rPr>
            <w:rStyle w:val="Hyperlink"/>
            <w:noProof/>
          </w:rPr>
          <w:t>Conclusion</w:t>
        </w:r>
        <w:r>
          <w:rPr>
            <w:noProof/>
            <w:webHidden/>
          </w:rPr>
          <w:tab/>
        </w:r>
        <w:r>
          <w:rPr>
            <w:noProof/>
            <w:webHidden/>
          </w:rPr>
          <w:fldChar w:fldCharType="begin"/>
        </w:r>
        <w:r>
          <w:rPr>
            <w:noProof/>
            <w:webHidden/>
          </w:rPr>
          <w:instrText xml:space="preserve"> PAGEREF _Toc228288458 \h </w:instrText>
        </w:r>
        <w:r>
          <w:rPr>
            <w:noProof/>
            <w:webHidden/>
          </w:rPr>
        </w:r>
        <w:r>
          <w:rPr>
            <w:noProof/>
            <w:webHidden/>
          </w:rPr>
          <w:fldChar w:fldCharType="separate"/>
        </w:r>
        <w:r>
          <w:rPr>
            <w:noProof/>
            <w:webHidden/>
          </w:rPr>
          <w:t>77</w:t>
        </w:r>
        <w:r>
          <w:rPr>
            <w:noProof/>
            <w:webHidden/>
          </w:rPr>
          <w:fldChar w:fldCharType="end"/>
        </w:r>
      </w:hyperlink>
    </w:p>
    <w:p w14:paraId="7573D50D" w14:textId="3C702AD6" w:rsidR="005A559B" w:rsidRDefault="005A559B">
      <w:pPr>
        <w:pStyle w:val="TOC1"/>
        <w:rPr>
          <w:rFonts w:asciiTheme="minorHAnsi" w:eastAsiaTheme="minorEastAsia" w:hAnsiTheme="minorHAnsi" w:cstheme="minorBidi"/>
          <w:noProof/>
          <w:kern w:val="2"/>
          <w14:ligatures w14:val="standardContextual"/>
        </w:rPr>
      </w:pPr>
      <w:hyperlink w:anchor="_Toc228288459" w:history="1">
        <w:r w:rsidRPr="00894396">
          <w:rPr>
            <w:rStyle w:val="Hyperlink"/>
            <w:noProof/>
          </w:rPr>
          <w:t>References</w:t>
        </w:r>
        <w:r>
          <w:rPr>
            <w:noProof/>
            <w:webHidden/>
          </w:rPr>
          <w:tab/>
        </w:r>
        <w:r>
          <w:rPr>
            <w:noProof/>
            <w:webHidden/>
          </w:rPr>
          <w:fldChar w:fldCharType="begin"/>
        </w:r>
        <w:r>
          <w:rPr>
            <w:noProof/>
            <w:webHidden/>
          </w:rPr>
          <w:instrText xml:space="preserve"> PAGEREF _Toc228288459 \h </w:instrText>
        </w:r>
        <w:r>
          <w:rPr>
            <w:noProof/>
            <w:webHidden/>
          </w:rPr>
        </w:r>
        <w:r>
          <w:rPr>
            <w:noProof/>
            <w:webHidden/>
          </w:rPr>
          <w:fldChar w:fldCharType="separate"/>
        </w:r>
        <w:r>
          <w:rPr>
            <w:noProof/>
            <w:webHidden/>
          </w:rPr>
          <w:t>78</w:t>
        </w:r>
        <w:r>
          <w:rPr>
            <w:noProof/>
            <w:webHidden/>
          </w:rPr>
          <w:fldChar w:fldCharType="end"/>
        </w:r>
      </w:hyperlink>
    </w:p>
    <w:p w14:paraId="662DFC9A" w14:textId="77C13D98" w:rsidR="00203691" w:rsidRDefault="00DC6634" w:rsidP="00203691">
      <w:pPr>
        <w:pStyle w:val="TOC1"/>
      </w:pPr>
      <w:r>
        <w:fldChar w:fldCharType="end"/>
      </w:r>
    </w:p>
    <w:p w14:paraId="0D409EF4" w14:textId="77777777" w:rsidR="00203691" w:rsidRDefault="00203691" w:rsidP="00203691">
      <w:pPr>
        <w:pStyle w:val="TOCHeading2"/>
      </w:pPr>
      <w:bookmarkStart w:id="15" w:name="_Toc507583976"/>
      <w:bookmarkStart w:id="16" w:name="_Toc507584030"/>
      <w:r>
        <w:t>Figures</w:t>
      </w:r>
    </w:p>
    <w:p w14:paraId="1A4F2982" w14:textId="5E3A97BB" w:rsidR="00244816" w:rsidRDefault="00687C34">
      <w:pPr>
        <w:pStyle w:val="TableofFigures"/>
        <w:tabs>
          <w:tab w:val="right" w:leader="dot" w:pos="9350"/>
        </w:tabs>
        <w:rPr>
          <w:rFonts w:asciiTheme="minorHAnsi" w:eastAsiaTheme="minorEastAsia" w:hAnsiTheme="minorHAnsi" w:cstheme="minorBidi"/>
          <w:noProof/>
          <w:kern w:val="2"/>
          <w14:ligatures w14:val="standardContextual"/>
        </w:rPr>
      </w:pPr>
      <w:r>
        <w:fldChar w:fldCharType="begin"/>
      </w:r>
      <w:r>
        <w:instrText xml:space="preserve"> TOC \h \z \c "Figure" </w:instrText>
      </w:r>
      <w:r>
        <w:fldChar w:fldCharType="separate"/>
      </w:r>
      <w:hyperlink w:anchor="_Toc227410273" w:history="1">
        <w:r w:rsidR="00244816" w:rsidRPr="00CD7A54">
          <w:rPr>
            <w:rStyle w:val="Hyperlink"/>
            <w:noProof/>
          </w:rPr>
          <w:t>Figure 1. Map of Western Pacific Ocean Island Nations. The Geographic Coordinate System is WGS84. Sources: Esri, TomTom, FAO, NOAA, USGS.</w:t>
        </w:r>
        <w:r w:rsidR="00244816">
          <w:rPr>
            <w:noProof/>
            <w:webHidden/>
          </w:rPr>
          <w:tab/>
        </w:r>
        <w:r w:rsidR="00244816">
          <w:rPr>
            <w:noProof/>
            <w:webHidden/>
          </w:rPr>
          <w:fldChar w:fldCharType="begin"/>
        </w:r>
        <w:r w:rsidR="00244816">
          <w:rPr>
            <w:noProof/>
            <w:webHidden/>
          </w:rPr>
          <w:instrText xml:space="preserve"> PAGEREF _Toc227410273 \h </w:instrText>
        </w:r>
        <w:r w:rsidR="00244816">
          <w:rPr>
            <w:noProof/>
            <w:webHidden/>
          </w:rPr>
        </w:r>
        <w:r w:rsidR="00244816">
          <w:rPr>
            <w:noProof/>
            <w:webHidden/>
          </w:rPr>
          <w:fldChar w:fldCharType="separate"/>
        </w:r>
        <w:r w:rsidR="005A559B">
          <w:rPr>
            <w:noProof/>
            <w:webHidden/>
          </w:rPr>
          <w:t>8</w:t>
        </w:r>
        <w:r w:rsidR="00244816">
          <w:rPr>
            <w:noProof/>
            <w:webHidden/>
          </w:rPr>
          <w:fldChar w:fldCharType="end"/>
        </w:r>
      </w:hyperlink>
    </w:p>
    <w:p w14:paraId="69F81D5E" w14:textId="4DB2EF8D" w:rsidR="00244816" w:rsidRDefault="00244816">
      <w:pPr>
        <w:pStyle w:val="TableofFigures"/>
        <w:tabs>
          <w:tab w:val="right" w:leader="dot" w:pos="9350"/>
        </w:tabs>
        <w:rPr>
          <w:rFonts w:asciiTheme="minorHAnsi" w:eastAsiaTheme="minorEastAsia" w:hAnsiTheme="minorHAnsi" w:cstheme="minorBidi"/>
          <w:noProof/>
          <w:kern w:val="2"/>
          <w14:ligatures w14:val="standardContextual"/>
        </w:rPr>
      </w:pPr>
      <w:hyperlink w:anchor="_Toc227410274" w:history="1">
        <w:r w:rsidRPr="00CD7A54">
          <w:rPr>
            <w:rStyle w:val="Hyperlink"/>
            <w:noProof/>
          </w:rPr>
          <w:t>Figure 2. Mean annual precipitation from 2015 - 2024 from IMERG Final Run dataset, displaying lower values in light blue and higher values dark blue.</w:t>
        </w:r>
        <w:r>
          <w:rPr>
            <w:noProof/>
            <w:webHidden/>
          </w:rPr>
          <w:tab/>
        </w:r>
        <w:r>
          <w:rPr>
            <w:noProof/>
            <w:webHidden/>
          </w:rPr>
          <w:fldChar w:fldCharType="begin"/>
        </w:r>
        <w:r>
          <w:rPr>
            <w:noProof/>
            <w:webHidden/>
          </w:rPr>
          <w:instrText xml:space="preserve"> PAGEREF _Toc227410274 \h </w:instrText>
        </w:r>
        <w:r>
          <w:rPr>
            <w:noProof/>
            <w:webHidden/>
          </w:rPr>
        </w:r>
        <w:r>
          <w:rPr>
            <w:noProof/>
            <w:webHidden/>
          </w:rPr>
          <w:fldChar w:fldCharType="separate"/>
        </w:r>
        <w:r w:rsidR="005A559B">
          <w:rPr>
            <w:noProof/>
            <w:webHidden/>
          </w:rPr>
          <w:t>10</w:t>
        </w:r>
        <w:r>
          <w:rPr>
            <w:noProof/>
            <w:webHidden/>
          </w:rPr>
          <w:fldChar w:fldCharType="end"/>
        </w:r>
      </w:hyperlink>
    </w:p>
    <w:p w14:paraId="6E8B8160" w14:textId="6A96B9E9" w:rsidR="00244816" w:rsidRDefault="00244816">
      <w:pPr>
        <w:pStyle w:val="TableofFigures"/>
        <w:tabs>
          <w:tab w:val="right" w:leader="dot" w:pos="9350"/>
        </w:tabs>
        <w:rPr>
          <w:rFonts w:asciiTheme="minorHAnsi" w:eastAsiaTheme="minorEastAsia" w:hAnsiTheme="minorHAnsi" w:cstheme="minorBidi"/>
          <w:noProof/>
          <w:kern w:val="2"/>
          <w14:ligatures w14:val="standardContextual"/>
        </w:rPr>
      </w:pPr>
      <w:hyperlink w:anchor="_Toc227410275" w:history="1">
        <w:r w:rsidRPr="00CD7A54">
          <w:rPr>
            <w:rStyle w:val="Hyperlink"/>
            <w:noProof/>
          </w:rPr>
          <w:t>Figure 3. Map of Kosrae. The Geographic Coordinate System is WGS84. Sources: Esri, TomTom, FAO, NOAA, USGS.</w:t>
        </w:r>
        <w:r>
          <w:rPr>
            <w:noProof/>
            <w:webHidden/>
          </w:rPr>
          <w:tab/>
        </w:r>
        <w:r>
          <w:rPr>
            <w:noProof/>
            <w:webHidden/>
          </w:rPr>
          <w:fldChar w:fldCharType="begin"/>
        </w:r>
        <w:r>
          <w:rPr>
            <w:noProof/>
            <w:webHidden/>
          </w:rPr>
          <w:instrText xml:space="preserve"> PAGEREF _Toc227410275 \h </w:instrText>
        </w:r>
        <w:r>
          <w:rPr>
            <w:noProof/>
            <w:webHidden/>
          </w:rPr>
        </w:r>
        <w:r>
          <w:rPr>
            <w:noProof/>
            <w:webHidden/>
          </w:rPr>
          <w:fldChar w:fldCharType="separate"/>
        </w:r>
        <w:r w:rsidR="005A559B">
          <w:rPr>
            <w:noProof/>
            <w:webHidden/>
          </w:rPr>
          <w:t>13</w:t>
        </w:r>
        <w:r>
          <w:rPr>
            <w:noProof/>
            <w:webHidden/>
          </w:rPr>
          <w:fldChar w:fldCharType="end"/>
        </w:r>
      </w:hyperlink>
    </w:p>
    <w:p w14:paraId="78EF4518" w14:textId="398AE138" w:rsidR="00244816" w:rsidRDefault="00244816">
      <w:pPr>
        <w:pStyle w:val="TableofFigures"/>
        <w:tabs>
          <w:tab w:val="right" w:leader="dot" w:pos="9350"/>
        </w:tabs>
        <w:rPr>
          <w:rFonts w:asciiTheme="minorHAnsi" w:eastAsiaTheme="minorEastAsia" w:hAnsiTheme="minorHAnsi" w:cstheme="minorBidi"/>
          <w:noProof/>
          <w:kern w:val="2"/>
          <w14:ligatures w14:val="standardContextual"/>
        </w:rPr>
      </w:pPr>
      <w:hyperlink w:anchor="_Toc227410276" w:history="1">
        <w:r w:rsidRPr="00CD7A54">
          <w:rPr>
            <w:rStyle w:val="Hyperlink"/>
            <w:noProof/>
          </w:rPr>
          <w:t>Figure 4. Monthly precipitation (P) for Kosrae (1998 – 2025) from IMERG.</w:t>
        </w:r>
        <w:r>
          <w:rPr>
            <w:noProof/>
            <w:webHidden/>
          </w:rPr>
          <w:tab/>
        </w:r>
        <w:r>
          <w:rPr>
            <w:noProof/>
            <w:webHidden/>
          </w:rPr>
          <w:fldChar w:fldCharType="begin"/>
        </w:r>
        <w:r>
          <w:rPr>
            <w:noProof/>
            <w:webHidden/>
          </w:rPr>
          <w:instrText xml:space="preserve"> PAGEREF _Toc227410276 \h </w:instrText>
        </w:r>
        <w:r>
          <w:rPr>
            <w:noProof/>
            <w:webHidden/>
          </w:rPr>
        </w:r>
        <w:r>
          <w:rPr>
            <w:noProof/>
            <w:webHidden/>
          </w:rPr>
          <w:fldChar w:fldCharType="separate"/>
        </w:r>
        <w:r w:rsidR="005A559B">
          <w:rPr>
            <w:noProof/>
            <w:webHidden/>
          </w:rPr>
          <w:t>16</w:t>
        </w:r>
        <w:r>
          <w:rPr>
            <w:noProof/>
            <w:webHidden/>
          </w:rPr>
          <w:fldChar w:fldCharType="end"/>
        </w:r>
      </w:hyperlink>
    </w:p>
    <w:p w14:paraId="0E3AA86D" w14:textId="393C59D3" w:rsidR="00244816" w:rsidRDefault="00244816">
      <w:pPr>
        <w:pStyle w:val="TableofFigures"/>
        <w:tabs>
          <w:tab w:val="right" w:leader="dot" w:pos="9350"/>
        </w:tabs>
        <w:rPr>
          <w:rFonts w:asciiTheme="minorHAnsi" w:eastAsiaTheme="minorEastAsia" w:hAnsiTheme="minorHAnsi" w:cstheme="minorBidi"/>
          <w:noProof/>
          <w:kern w:val="2"/>
          <w14:ligatures w14:val="standardContextual"/>
        </w:rPr>
      </w:pPr>
      <w:hyperlink w:anchor="_Toc227410277" w:history="1">
        <w:r w:rsidRPr="00CD7A54">
          <w:rPr>
            <w:rStyle w:val="Hyperlink"/>
            <w:noProof/>
          </w:rPr>
          <w:t>Figure 5. Annual precipitation (P) for Kosrae (1998 – 2024) from IMERG.</w:t>
        </w:r>
        <w:r>
          <w:rPr>
            <w:noProof/>
            <w:webHidden/>
          </w:rPr>
          <w:tab/>
        </w:r>
        <w:r>
          <w:rPr>
            <w:noProof/>
            <w:webHidden/>
          </w:rPr>
          <w:fldChar w:fldCharType="begin"/>
        </w:r>
        <w:r>
          <w:rPr>
            <w:noProof/>
            <w:webHidden/>
          </w:rPr>
          <w:instrText xml:space="preserve"> PAGEREF _Toc227410277 \h </w:instrText>
        </w:r>
        <w:r>
          <w:rPr>
            <w:noProof/>
            <w:webHidden/>
          </w:rPr>
        </w:r>
        <w:r>
          <w:rPr>
            <w:noProof/>
            <w:webHidden/>
          </w:rPr>
          <w:fldChar w:fldCharType="separate"/>
        </w:r>
        <w:r w:rsidR="005A559B">
          <w:rPr>
            <w:noProof/>
            <w:webHidden/>
          </w:rPr>
          <w:t>17</w:t>
        </w:r>
        <w:r>
          <w:rPr>
            <w:noProof/>
            <w:webHidden/>
          </w:rPr>
          <w:fldChar w:fldCharType="end"/>
        </w:r>
      </w:hyperlink>
    </w:p>
    <w:p w14:paraId="7B5C1710" w14:textId="56B76E40" w:rsidR="00244816" w:rsidRDefault="00244816">
      <w:pPr>
        <w:pStyle w:val="TableofFigures"/>
        <w:tabs>
          <w:tab w:val="right" w:leader="dot" w:pos="9350"/>
        </w:tabs>
        <w:rPr>
          <w:rFonts w:asciiTheme="minorHAnsi" w:eastAsiaTheme="minorEastAsia" w:hAnsiTheme="minorHAnsi" w:cstheme="minorBidi"/>
          <w:noProof/>
          <w:kern w:val="2"/>
          <w14:ligatures w14:val="standardContextual"/>
        </w:rPr>
      </w:pPr>
      <w:hyperlink w:anchor="_Toc227410278" w:history="1">
        <w:r w:rsidRPr="00CD7A54">
          <w:rPr>
            <w:rStyle w:val="Hyperlink"/>
            <w:noProof/>
          </w:rPr>
          <w:t>Figure 6. Mean monthly precipitation (P) and actual ET (ETa) in mm for Korsrae (2013-2025).</w:t>
        </w:r>
        <w:r>
          <w:rPr>
            <w:noProof/>
            <w:webHidden/>
          </w:rPr>
          <w:tab/>
        </w:r>
        <w:r>
          <w:rPr>
            <w:noProof/>
            <w:webHidden/>
          </w:rPr>
          <w:fldChar w:fldCharType="begin"/>
        </w:r>
        <w:r>
          <w:rPr>
            <w:noProof/>
            <w:webHidden/>
          </w:rPr>
          <w:instrText xml:space="preserve"> PAGEREF _Toc227410278 \h </w:instrText>
        </w:r>
        <w:r>
          <w:rPr>
            <w:noProof/>
            <w:webHidden/>
          </w:rPr>
        </w:r>
        <w:r>
          <w:rPr>
            <w:noProof/>
            <w:webHidden/>
          </w:rPr>
          <w:fldChar w:fldCharType="separate"/>
        </w:r>
        <w:r w:rsidR="005A559B">
          <w:rPr>
            <w:noProof/>
            <w:webHidden/>
          </w:rPr>
          <w:t>18</w:t>
        </w:r>
        <w:r>
          <w:rPr>
            <w:noProof/>
            <w:webHidden/>
          </w:rPr>
          <w:fldChar w:fldCharType="end"/>
        </w:r>
      </w:hyperlink>
    </w:p>
    <w:p w14:paraId="16EDCD3B" w14:textId="48D99AB8" w:rsidR="00244816" w:rsidRDefault="00244816">
      <w:pPr>
        <w:pStyle w:val="TableofFigures"/>
        <w:tabs>
          <w:tab w:val="right" w:leader="dot" w:pos="9350"/>
        </w:tabs>
        <w:rPr>
          <w:rFonts w:asciiTheme="minorHAnsi" w:eastAsiaTheme="minorEastAsia" w:hAnsiTheme="minorHAnsi" w:cstheme="minorBidi"/>
          <w:noProof/>
          <w:kern w:val="2"/>
          <w14:ligatures w14:val="standardContextual"/>
        </w:rPr>
      </w:pPr>
      <w:hyperlink w:anchor="_Toc227410279" w:history="1">
        <w:r w:rsidRPr="00CD7A54">
          <w:rPr>
            <w:rStyle w:val="Hyperlink"/>
            <w:noProof/>
          </w:rPr>
          <w:t>Figure 7. Annual actual ET (ETa) for Kosrae in mm for years 2013 – 2025 using SSEBop model.</w:t>
        </w:r>
        <w:r>
          <w:rPr>
            <w:noProof/>
            <w:webHidden/>
          </w:rPr>
          <w:tab/>
        </w:r>
        <w:r>
          <w:rPr>
            <w:noProof/>
            <w:webHidden/>
          </w:rPr>
          <w:fldChar w:fldCharType="begin"/>
        </w:r>
        <w:r>
          <w:rPr>
            <w:noProof/>
            <w:webHidden/>
          </w:rPr>
          <w:instrText xml:space="preserve"> PAGEREF _Toc227410279 \h </w:instrText>
        </w:r>
        <w:r>
          <w:rPr>
            <w:noProof/>
            <w:webHidden/>
          </w:rPr>
        </w:r>
        <w:r>
          <w:rPr>
            <w:noProof/>
            <w:webHidden/>
          </w:rPr>
          <w:fldChar w:fldCharType="separate"/>
        </w:r>
        <w:r w:rsidR="005A559B">
          <w:rPr>
            <w:noProof/>
            <w:webHidden/>
          </w:rPr>
          <w:t>19</w:t>
        </w:r>
        <w:r>
          <w:rPr>
            <w:noProof/>
            <w:webHidden/>
          </w:rPr>
          <w:fldChar w:fldCharType="end"/>
        </w:r>
      </w:hyperlink>
    </w:p>
    <w:p w14:paraId="3BE71332" w14:textId="3A969109" w:rsidR="00244816" w:rsidRDefault="00244816">
      <w:pPr>
        <w:pStyle w:val="TableofFigures"/>
        <w:tabs>
          <w:tab w:val="right" w:leader="dot" w:pos="9350"/>
        </w:tabs>
        <w:rPr>
          <w:rFonts w:asciiTheme="minorHAnsi" w:eastAsiaTheme="minorEastAsia" w:hAnsiTheme="minorHAnsi" w:cstheme="minorBidi"/>
          <w:noProof/>
          <w:kern w:val="2"/>
          <w14:ligatures w14:val="standardContextual"/>
        </w:rPr>
      </w:pPr>
      <w:hyperlink w:anchor="_Toc227410280" w:history="1">
        <w:r w:rsidRPr="00CD7A54">
          <w:rPr>
            <w:rStyle w:val="Hyperlink"/>
            <w:noProof/>
          </w:rPr>
          <w:t>Figure 8. Monthly relative net water availability (P – ETa) for Kosrae (2012 – 2025) in mm.</w:t>
        </w:r>
        <w:r>
          <w:rPr>
            <w:noProof/>
            <w:webHidden/>
          </w:rPr>
          <w:tab/>
        </w:r>
        <w:r>
          <w:rPr>
            <w:noProof/>
            <w:webHidden/>
          </w:rPr>
          <w:fldChar w:fldCharType="begin"/>
        </w:r>
        <w:r>
          <w:rPr>
            <w:noProof/>
            <w:webHidden/>
          </w:rPr>
          <w:instrText xml:space="preserve"> PAGEREF _Toc227410280 \h </w:instrText>
        </w:r>
        <w:r>
          <w:rPr>
            <w:noProof/>
            <w:webHidden/>
          </w:rPr>
        </w:r>
        <w:r>
          <w:rPr>
            <w:noProof/>
            <w:webHidden/>
          </w:rPr>
          <w:fldChar w:fldCharType="separate"/>
        </w:r>
        <w:r w:rsidR="005A559B">
          <w:rPr>
            <w:noProof/>
            <w:webHidden/>
          </w:rPr>
          <w:t>20</w:t>
        </w:r>
        <w:r>
          <w:rPr>
            <w:noProof/>
            <w:webHidden/>
          </w:rPr>
          <w:fldChar w:fldCharType="end"/>
        </w:r>
      </w:hyperlink>
    </w:p>
    <w:p w14:paraId="2AD838EF" w14:textId="713A5BC7" w:rsidR="00244816" w:rsidRDefault="00244816">
      <w:pPr>
        <w:pStyle w:val="TableofFigures"/>
        <w:tabs>
          <w:tab w:val="right" w:leader="dot" w:pos="9350"/>
        </w:tabs>
        <w:rPr>
          <w:rFonts w:asciiTheme="minorHAnsi" w:eastAsiaTheme="minorEastAsia" w:hAnsiTheme="minorHAnsi" w:cstheme="minorBidi"/>
          <w:noProof/>
          <w:kern w:val="2"/>
          <w14:ligatures w14:val="standardContextual"/>
        </w:rPr>
      </w:pPr>
      <w:hyperlink w:anchor="_Toc227410281" w:history="1">
        <w:r w:rsidRPr="00CD7A54">
          <w:rPr>
            <w:rStyle w:val="Hyperlink"/>
            <w:noProof/>
          </w:rPr>
          <w:t>Figure 9. Annual Water Budget for Kosrae (2013-2024).</w:t>
        </w:r>
        <w:r>
          <w:rPr>
            <w:noProof/>
            <w:webHidden/>
          </w:rPr>
          <w:tab/>
        </w:r>
        <w:r>
          <w:rPr>
            <w:noProof/>
            <w:webHidden/>
          </w:rPr>
          <w:fldChar w:fldCharType="begin"/>
        </w:r>
        <w:r>
          <w:rPr>
            <w:noProof/>
            <w:webHidden/>
          </w:rPr>
          <w:instrText xml:space="preserve"> PAGEREF _Toc227410281 \h </w:instrText>
        </w:r>
        <w:r>
          <w:rPr>
            <w:noProof/>
            <w:webHidden/>
          </w:rPr>
        </w:r>
        <w:r>
          <w:rPr>
            <w:noProof/>
            <w:webHidden/>
          </w:rPr>
          <w:fldChar w:fldCharType="separate"/>
        </w:r>
        <w:r w:rsidR="005A559B">
          <w:rPr>
            <w:noProof/>
            <w:webHidden/>
          </w:rPr>
          <w:t>21</w:t>
        </w:r>
        <w:r>
          <w:rPr>
            <w:noProof/>
            <w:webHidden/>
          </w:rPr>
          <w:fldChar w:fldCharType="end"/>
        </w:r>
      </w:hyperlink>
    </w:p>
    <w:p w14:paraId="440D0583" w14:textId="75BCFD98" w:rsidR="00244816" w:rsidRDefault="00244816">
      <w:pPr>
        <w:pStyle w:val="TableofFigures"/>
        <w:tabs>
          <w:tab w:val="right" w:leader="dot" w:pos="9350"/>
        </w:tabs>
        <w:rPr>
          <w:rFonts w:asciiTheme="minorHAnsi" w:eastAsiaTheme="minorEastAsia" w:hAnsiTheme="minorHAnsi" w:cstheme="minorBidi"/>
          <w:noProof/>
          <w:kern w:val="2"/>
          <w14:ligatures w14:val="standardContextual"/>
        </w:rPr>
      </w:pPr>
      <w:hyperlink w:anchor="_Toc227410282" w:history="1">
        <w:r w:rsidRPr="00CD7A54">
          <w:rPr>
            <w:rStyle w:val="Hyperlink"/>
            <w:noProof/>
          </w:rPr>
          <w:t>Figure 10. Quintile-based Rainfall Index time series for Kosrae showing (A) 1-month, (B) 3-month, and (C) 6-month accumulation windows.</w:t>
        </w:r>
        <w:r>
          <w:rPr>
            <w:noProof/>
            <w:webHidden/>
          </w:rPr>
          <w:tab/>
        </w:r>
        <w:r>
          <w:rPr>
            <w:noProof/>
            <w:webHidden/>
          </w:rPr>
          <w:fldChar w:fldCharType="begin"/>
        </w:r>
        <w:r>
          <w:rPr>
            <w:noProof/>
            <w:webHidden/>
          </w:rPr>
          <w:instrText xml:space="preserve"> PAGEREF _Toc227410282 \h </w:instrText>
        </w:r>
        <w:r>
          <w:rPr>
            <w:noProof/>
            <w:webHidden/>
          </w:rPr>
        </w:r>
        <w:r>
          <w:rPr>
            <w:noProof/>
            <w:webHidden/>
          </w:rPr>
          <w:fldChar w:fldCharType="separate"/>
        </w:r>
        <w:r w:rsidR="005A559B">
          <w:rPr>
            <w:noProof/>
            <w:webHidden/>
          </w:rPr>
          <w:t>23</w:t>
        </w:r>
        <w:r>
          <w:rPr>
            <w:noProof/>
            <w:webHidden/>
          </w:rPr>
          <w:fldChar w:fldCharType="end"/>
        </w:r>
      </w:hyperlink>
    </w:p>
    <w:p w14:paraId="42994084" w14:textId="2E807303" w:rsidR="00244816" w:rsidRDefault="00244816">
      <w:pPr>
        <w:pStyle w:val="TableofFigures"/>
        <w:tabs>
          <w:tab w:val="right" w:leader="dot" w:pos="9350"/>
        </w:tabs>
        <w:rPr>
          <w:rFonts w:asciiTheme="minorHAnsi" w:eastAsiaTheme="minorEastAsia" w:hAnsiTheme="minorHAnsi" w:cstheme="minorBidi"/>
          <w:noProof/>
          <w:kern w:val="2"/>
          <w14:ligatures w14:val="standardContextual"/>
        </w:rPr>
      </w:pPr>
      <w:hyperlink w:anchor="_Toc227410283" w:history="1">
        <w:r w:rsidRPr="00CD7A54">
          <w:rPr>
            <w:rStyle w:val="Hyperlink"/>
            <w:noProof/>
          </w:rPr>
          <w:t>Figure 11. Combined 7-day GFS precipitation forecast bar chart for the four FSM monitoring locations, March 10–16, 2026. The dashed red line indicates the 50-mm daily alert threshold.</w:t>
        </w:r>
        <w:r>
          <w:rPr>
            <w:noProof/>
            <w:webHidden/>
          </w:rPr>
          <w:tab/>
        </w:r>
        <w:r>
          <w:rPr>
            <w:noProof/>
            <w:webHidden/>
          </w:rPr>
          <w:fldChar w:fldCharType="begin"/>
        </w:r>
        <w:r>
          <w:rPr>
            <w:noProof/>
            <w:webHidden/>
          </w:rPr>
          <w:instrText xml:space="preserve"> PAGEREF _Toc227410283 \h </w:instrText>
        </w:r>
        <w:r>
          <w:rPr>
            <w:noProof/>
            <w:webHidden/>
          </w:rPr>
        </w:r>
        <w:r>
          <w:rPr>
            <w:noProof/>
            <w:webHidden/>
          </w:rPr>
          <w:fldChar w:fldCharType="separate"/>
        </w:r>
        <w:r w:rsidR="005A559B">
          <w:rPr>
            <w:noProof/>
            <w:webHidden/>
          </w:rPr>
          <w:t>28</w:t>
        </w:r>
        <w:r>
          <w:rPr>
            <w:noProof/>
            <w:webHidden/>
          </w:rPr>
          <w:fldChar w:fldCharType="end"/>
        </w:r>
      </w:hyperlink>
    </w:p>
    <w:p w14:paraId="0C4CDE33" w14:textId="62C7603E" w:rsidR="00244816" w:rsidRDefault="00244816">
      <w:pPr>
        <w:pStyle w:val="TableofFigures"/>
        <w:tabs>
          <w:tab w:val="right" w:leader="dot" w:pos="9350"/>
        </w:tabs>
        <w:rPr>
          <w:rFonts w:asciiTheme="minorHAnsi" w:eastAsiaTheme="minorEastAsia" w:hAnsiTheme="minorHAnsi" w:cstheme="minorBidi"/>
          <w:noProof/>
          <w:kern w:val="2"/>
          <w14:ligatures w14:val="standardContextual"/>
        </w:rPr>
      </w:pPr>
      <w:hyperlink w:anchor="_Toc227410284" w:history="1">
        <w:r w:rsidRPr="00CD7A54">
          <w:rPr>
            <w:rStyle w:val="Hyperlink"/>
            <w:noProof/>
          </w:rPr>
          <w:t>Figure 12. GFS 7-day precipitation forecast bar chart for Yap, March 10–16, 2026. Bars show daily accumulated precipitation in millimeters.</w:t>
        </w:r>
        <w:r>
          <w:rPr>
            <w:noProof/>
            <w:webHidden/>
          </w:rPr>
          <w:tab/>
        </w:r>
        <w:r>
          <w:rPr>
            <w:noProof/>
            <w:webHidden/>
          </w:rPr>
          <w:fldChar w:fldCharType="begin"/>
        </w:r>
        <w:r>
          <w:rPr>
            <w:noProof/>
            <w:webHidden/>
          </w:rPr>
          <w:instrText xml:space="preserve"> PAGEREF _Toc227410284 \h </w:instrText>
        </w:r>
        <w:r>
          <w:rPr>
            <w:noProof/>
            <w:webHidden/>
          </w:rPr>
        </w:r>
        <w:r>
          <w:rPr>
            <w:noProof/>
            <w:webHidden/>
          </w:rPr>
          <w:fldChar w:fldCharType="separate"/>
        </w:r>
        <w:r w:rsidR="005A559B">
          <w:rPr>
            <w:noProof/>
            <w:webHidden/>
          </w:rPr>
          <w:t>29</w:t>
        </w:r>
        <w:r>
          <w:rPr>
            <w:noProof/>
            <w:webHidden/>
          </w:rPr>
          <w:fldChar w:fldCharType="end"/>
        </w:r>
      </w:hyperlink>
    </w:p>
    <w:p w14:paraId="7BF5009F" w14:textId="2A0D459F" w:rsidR="00244816" w:rsidRDefault="00244816">
      <w:pPr>
        <w:pStyle w:val="TableofFigures"/>
        <w:tabs>
          <w:tab w:val="right" w:leader="dot" w:pos="9350"/>
        </w:tabs>
        <w:rPr>
          <w:rFonts w:asciiTheme="minorHAnsi" w:eastAsiaTheme="minorEastAsia" w:hAnsiTheme="minorHAnsi" w:cstheme="minorBidi"/>
          <w:noProof/>
          <w:kern w:val="2"/>
          <w14:ligatures w14:val="standardContextual"/>
        </w:rPr>
      </w:pPr>
      <w:hyperlink w:anchor="_Toc227410285" w:history="1">
        <w:r w:rsidRPr="00CD7A54">
          <w:rPr>
            <w:rStyle w:val="Hyperlink"/>
            <w:noProof/>
          </w:rPr>
          <w:t>Figure 13. GFS 7-day precipitation forecast bar chart for Weno (Chuuk), March 10–16, 2026.</w:t>
        </w:r>
        <w:r>
          <w:rPr>
            <w:noProof/>
            <w:webHidden/>
          </w:rPr>
          <w:tab/>
        </w:r>
        <w:r>
          <w:rPr>
            <w:noProof/>
            <w:webHidden/>
          </w:rPr>
          <w:fldChar w:fldCharType="begin"/>
        </w:r>
        <w:r>
          <w:rPr>
            <w:noProof/>
            <w:webHidden/>
          </w:rPr>
          <w:instrText xml:space="preserve"> PAGEREF _Toc227410285 \h </w:instrText>
        </w:r>
        <w:r>
          <w:rPr>
            <w:noProof/>
            <w:webHidden/>
          </w:rPr>
        </w:r>
        <w:r>
          <w:rPr>
            <w:noProof/>
            <w:webHidden/>
          </w:rPr>
          <w:fldChar w:fldCharType="separate"/>
        </w:r>
        <w:r w:rsidR="005A559B">
          <w:rPr>
            <w:noProof/>
            <w:webHidden/>
          </w:rPr>
          <w:t>30</w:t>
        </w:r>
        <w:r>
          <w:rPr>
            <w:noProof/>
            <w:webHidden/>
          </w:rPr>
          <w:fldChar w:fldCharType="end"/>
        </w:r>
      </w:hyperlink>
    </w:p>
    <w:p w14:paraId="0125D983" w14:textId="1F367D46" w:rsidR="00244816" w:rsidRDefault="00244816">
      <w:pPr>
        <w:pStyle w:val="TableofFigures"/>
        <w:tabs>
          <w:tab w:val="right" w:leader="dot" w:pos="9350"/>
        </w:tabs>
        <w:rPr>
          <w:rFonts w:asciiTheme="minorHAnsi" w:eastAsiaTheme="minorEastAsia" w:hAnsiTheme="minorHAnsi" w:cstheme="minorBidi"/>
          <w:noProof/>
          <w:kern w:val="2"/>
          <w14:ligatures w14:val="standardContextual"/>
        </w:rPr>
      </w:pPr>
      <w:hyperlink w:anchor="_Toc227410286" w:history="1">
        <w:r w:rsidRPr="00CD7A54">
          <w:rPr>
            <w:rStyle w:val="Hyperlink"/>
            <w:noProof/>
          </w:rPr>
          <w:t>Figure 14. GFS 7-day precipitation forecast bar chart for Pohnpei, March 10–16, 2026.</w:t>
        </w:r>
        <w:r>
          <w:rPr>
            <w:noProof/>
            <w:webHidden/>
          </w:rPr>
          <w:tab/>
        </w:r>
        <w:r>
          <w:rPr>
            <w:noProof/>
            <w:webHidden/>
          </w:rPr>
          <w:fldChar w:fldCharType="begin"/>
        </w:r>
        <w:r>
          <w:rPr>
            <w:noProof/>
            <w:webHidden/>
          </w:rPr>
          <w:instrText xml:space="preserve"> PAGEREF _Toc227410286 \h </w:instrText>
        </w:r>
        <w:r>
          <w:rPr>
            <w:noProof/>
            <w:webHidden/>
          </w:rPr>
        </w:r>
        <w:r>
          <w:rPr>
            <w:noProof/>
            <w:webHidden/>
          </w:rPr>
          <w:fldChar w:fldCharType="separate"/>
        </w:r>
        <w:r w:rsidR="005A559B">
          <w:rPr>
            <w:noProof/>
            <w:webHidden/>
          </w:rPr>
          <w:t>31</w:t>
        </w:r>
        <w:r>
          <w:rPr>
            <w:noProof/>
            <w:webHidden/>
          </w:rPr>
          <w:fldChar w:fldCharType="end"/>
        </w:r>
      </w:hyperlink>
    </w:p>
    <w:p w14:paraId="241632E9" w14:textId="1C344AF6" w:rsidR="00244816" w:rsidRDefault="00244816">
      <w:pPr>
        <w:pStyle w:val="TableofFigures"/>
        <w:tabs>
          <w:tab w:val="right" w:leader="dot" w:pos="9350"/>
        </w:tabs>
        <w:rPr>
          <w:rFonts w:asciiTheme="minorHAnsi" w:eastAsiaTheme="minorEastAsia" w:hAnsiTheme="minorHAnsi" w:cstheme="minorBidi"/>
          <w:noProof/>
          <w:kern w:val="2"/>
          <w14:ligatures w14:val="standardContextual"/>
        </w:rPr>
      </w:pPr>
      <w:hyperlink w:anchor="_Toc227410287" w:history="1">
        <w:r w:rsidRPr="00CD7A54">
          <w:rPr>
            <w:rStyle w:val="Hyperlink"/>
            <w:noProof/>
          </w:rPr>
          <w:t>Figure 15. GFS 7-day precipitation forecast bar chart for Kosrae, March 10–16, 2026.</w:t>
        </w:r>
        <w:r>
          <w:rPr>
            <w:noProof/>
            <w:webHidden/>
          </w:rPr>
          <w:tab/>
        </w:r>
        <w:r>
          <w:rPr>
            <w:noProof/>
            <w:webHidden/>
          </w:rPr>
          <w:fldChar w:fldCharType="begin"/>
        </w:r>
        <w:r>
          <w:rPr>
            <w:noProof/>
            <w:webHidden/>
          </w:rPr>
          <w:instrText xml:space="preserve"> PAGEREF _Toc227410287 \h </w:instrText>
        </w:r>
        <w:r>
          <w:rPr>
            <w:noProof/>
            <w:webHidden/>
          </w:rPr>
        </w:r>
        <w:r>
          <w:rPr>
            <w:noProof/>
            <w:webHidden/>
          </w:rPr>
          <w:fldChar w:fldCharType="separate"/>
        </w:r>
        <w:r w:rsidR="005A559B">
          <w:rPr>
            <w:noProof/>
            <w:webHidden/>
          </w:rPr>
          <w:t>32</w:t>
        </w:r>
        <w:r>
          <w:rPr>
            <w:noProof/>
            <w:webHidden/>
          </w:rPr>
          <w:fldChar w:fldCharType="end"/>
        </w:r>
      </w:hyperlink>
    </w:p>
    <w:p w14:paraId="02ABD098" w14:textId="2A820E0F" w:rsidR="00244816" w:rsidRDefault="00244816">
      <w:pPr>
        <w:pStyle w:val="TableofFigures"/>
        <w:tabs>
          <w:tab w:val="right" w:leader="dot" w:pos="9350"/>
        </w:tabs>
        <w:rPr>
          <w:rFonts w:asciiTheme="minorHAnsi" w:eastAsiaTheme="minorEastAsia" w:hAnsiTheme="minorHAnsi" w:cstheme="minorBidi"/>
          <w:noProof/>
          <w:kern w:val="2"/>
          <w14:ligatures w14:val="standardContextual"/>
        </w:rPr>
      </w:pPr>
      <w:hyperlink w:anchor="_Toc227410288" w:history="1">
        <w:r w:rsidRPr="00CD7A54">
          <w:rPr>
            <w:rStyle w:val="Hyperlink"/>
            <w:noProof/>
          </w:rPr>
          <w:t>Figure 16. Map of Pohnpei. The Geographic Coordinate System is WGS84. Sources: Esri, TomTom, FAO, NOAA, USGS.</w:t>
        </w:r>
        <w:r>
          <w:rPr>
            <w:noProof/>
            <w:webHidden/>
          </w:rPr>
          <w:tab/>
        </w:r>
        <w:r>
          <w:rPr>
            <w:noProof/>
            <w:webHidden/>
          </w:rPr>
          <w:fldChar w:fldCharType="begin"/>
        </w:r>
        <w:r>
          <w:rPr>
            <w:noProof/>
            <w:webHidden/>
          </w:rPr>
          <w:instrText xml:space="preserve"> PAGEREF _Toc227410288 \h </w:instrText>
        </w:r>
        <w:r>
          <w:rPr>
            <w:noProof/>
            <w:webHidden/>
          </w:rPr>
        </w:r>
        <w:r>
          <w:rPr>
            <w:noProof/>
            <w:webHidden/>
          </w:rPr>
          <w:fldChar w:fldCharType="separate"/>
        </w:r>
        <w:r w:rsidR="005A559B">
          <w:rPr>
            <w:noProof/>
            <w:webHidden/>
          </w:rPr>
          <w:t>36</w:t>
        </w:r>
        <w:r>
          <w:rPr>
            <w:noProof/>
            <w:webHidden/>
          </w:rPr>
          <w:fldChar w:fldCharType="end"/>
        </w:r>
      </w:hyperlink>
    </w:p>
    <w:p w14:paraId="146DFBD3" w14:textId="7F11B3FD" w:rsidR="00244816" w:rsidRDefault="00244816">
      <w:pPr>
        <w:pStyle w:val="TableofFigures"/>
        <w:tabs>
          <w:tab w:val="right" w:leader="dot" w:pos="9350"/>
        </w:tabs>
        <w:rPr>
          <w:rFonts w:asciiTheme="minorHAnsi" w:eastAsiaTheme="minorEastAsia" w:hAnsiTheme="minorHAnsi" w:cstheme="minorBidi"/>
          <w:noProof/>
          <w:kern w:val="2"/>
          <w14:ligatures w14:val="standardContextual"/>
        </w:rPr>
      </w:pPr>
      <w:hyperlink w:anchor="_Toc227410289" w:history="1">
        <w:r w:rsidRPr="00CD7A54">
          <w:rPr>
            <w:rStyle w:val="Hyperlink"/>
            <w:noProof/>
          </w:rPr>
          <w:t>Figure 17. Monthly precipitation for years 1998 - 2025 in mm.</w:t>
        </w:r>
        <w:r>
          <w:rPr>
            <w:noProof/>
            <w:webHidden/>
          </w:rPr>
          <w:tab/>
        </w:r>
        <w:r>
          <w:rPr>
            <w:noProof/>
            <w:webHidden/>
          </w:rPr>
          <w:fldChar w:fldCharType="begin"/>
        </w:r>
        <w:r>
          <w:rPr>
            <w:noProof/>
            <w:webHidden/>
          </w:rPr>
          <w:instrText xml:space="preserve"> PAGEREF _Toc227410289 \h </w:instrText>
        </w:r>
        <w:r>
          <w:rPr>
            <w:noProof/>
            <w:webHidden/>
          </w:rPr>
        </w:r>
        <w:r>
          <w:rPr>
            <w:noProof/>
            <w:webHidden/>
          </w:rPr>
          <w:fldChar w:fldCharType="separate"/>
        </w:r>
        <w:r w:rsidR="005A559B">
          <w:rPr>
            <w:noProof/>
            <w:webHidden/>
          </w:rPr>
          <w:t>38</w:t>
        </w:r>
        <w:r>
          <w:rPr>
            <w:noProof/>
            <w:webHidden/>
          </w:rPr>
          <w:fldChar w:fldCharType="end"/>
        </w:r>
      </w:hyperlink>
    </w:p>
    <w:p w14:paraId="5A628A02" w14:textId="20A2CC0F" w:rsidR="00244816" w:rsidRDefault="00244816">
      <w:pPr>
        <w:pStyle w:val="TableofFigures"/>
        <w:tabs>
          <w:tab w:val="right" w:leader="dot" w:pos="9350"/>
        </w:tabs>
        <w:rPr>
          <w:rFonts w:asciiTheme="minorHAnsi" w:eastAsiaTheme="minorEastAsia" w:hAnsiTheme="minorHAnsi" w:cstheme="minorBidi"/>
          <w:noProof/>
          <w:kern w:val="2"/>
          <w14:ligatures w14:val="standardContextual"/>
        </w:rPr>
      </w:pPr>
      <w:hyperlink w:anchor="_Toc227410290" w:history="1">
        <w:r w:rsidRPr="00CD7A54">
          <w:rPr>
            <w:rStyle w:val="Hyperlink"/>
            <w:noProof/>
          </w:rPr>
          <w:t>Figure 18. Annual precipitation for years 1998 - 2024 in mm.</w:t>
        </w:r>
        <w:r>
          <w:rPr>
            <w:noProof/>
            <w:webHidden/>
          </w:rPr>
          <w:tab/>
        </w:r>
        <w:r>
          <w:rPr>
            <w:noProof/>
            <w:webHidden/>
          </w:rPr>
          <w:fldChar w:fldCharType="begin"/>
        </w:r>
        <w:r>
          <w:rPr>
            <w:noProof/>
            <w:webHidden/>
          </w:rPr>
          <w:instrText xml:space="preserve"> PAGEREF _Toc227410290 \h </w:instrText>
        </w:r>
        <w:r>
          <w:rPr>
            <w:noProof/>
            <w:webHidden/>
          </w:rPr>
        </w:r>
        <w:r>
          <w:rPr>
            <w:noProof/>
            <w:webHidden/>
          </w:rPr>
          <w:fldChar w:fldCharType="separate"/>
        </w:r>
        <w:r w:rsidR="005A559B">
          <w:rPr>
            <w:noProof/>
            <w:webHidden/>
          </w:rPr>
          <w:t>39</w:t>
        </w:r>
        <w:r>
          <w:rPr>
            <w:noProof/>
            <w:webHidden/>
          </w:rPr>
          <w:fldChar w:fldCharType="end"/>
        </w:r>
      </w:hyperlink>
    </w:p>
    <w:p w14:paraId="11555857" w14:textId="5AB49B97" w:rsidR="00244816" w:rsidRDefault="00244816">
      <w:pPr>
        <w:pStyle w:val="TableofFigures"/>
        <w:tabs>
          <w:tab w:val="right" w:leader="dot" w:pos="9350"/>
        </w:tabs>
        <w:rPr>
          <w:rFonts w:asciiTheme="minorHAnsi" w:eastAsiaTheme="minorEastAsia" w:hAnsiTheme="minorHAnsi" w:cstheme="minorBidi"/>
          <w:noProof/>
          <w:kern w:val="2"/>
          <w14:ligatures w14:val="standardContextual"/>
        </w:rPr>
      </w:pPr>
      <w:hyperlink w:anchor="_Toc227410291" w:history="1">
        <w:r w:rsidRPr="00CD7A54">
          <w:rPr>
            <w:rStyle w:val="Hyperlink"/>
            <w:noProof/>
          </w:rPr>
          <w:t>Figure 19. Mean monthly precipitation (P) and actual ET (ETa) in mm for Pohnpei (2013-2025).</w:t>
        </w:r>
        <w:r>
          <w:rPr>
            <w:noProof/>
            <w:webHidden/>
          </w:rPr>
          <w:tab/>
        </w:r>
        <w:r>
          <w:rPr>
            <w:noProof/>
            <w:webHidden/>
          </w:rPr>
          <w:fldChar w:fldCharType="begin"/>
        </w:r>
        <w:r>
          <w:rPr>
            <w:noProof/>
            <w:webHidden/>
          </w:rPr>
          <w:instrText xml:space="preserve"> PAGEREF _Toc227410291 \h </w:instrText>
        </w:r>
        <w:r>
          <w:rPr>
            <w:noProof/>
            <w:webHidden/>
          </w:rPr>
        </w:r>
        <w:r>
          <w:rPr>
            <w:noProof/>
            <w:webHidden/>
          </w:rPr>
          <w:fldChar w:fldCharType="separate"/>
        </w:r>
        <w:r w:rsidR="005A559B">
          <w:rPr>
            <w:noProof/>
            <w:webHidden/>
          </w:rPr>
          <w:t>40</w:t>
        </w:r>
        <w:r>
          <w:rPr>
            <w:noProof/>
            <w:webHidden/>
          </w:rPr>
          <w:fldChar w:fldCharType="end"/>
        </w:r>
      </w:hyperlink>
    </w:p>
    <w:p w14:paraId="122AC917" w14:textId="1957C1D9" w:rsidR="00244816" w:rsidRDefault="00244816">
      <w:pPr>
        <w:pStyle w:val="TableofFigures"/>
        <w:tabs>
          <w:tab w:val="right" w:leader="dot" w:pos="9350"/>
        </w:tabs>
        <w:rPr>
          <w:rFonts w:asciiTheme="minorHAnsi" w:eastAsiaTheme="minorEastAsia" w:hAnsiTheme="minorHAnsi" w:cstheme="minorBidi"/>
          <w:noProof/>
          <w:kern w:val="2"/>
          <w14:ligatures w14:val="standardContextual"/>
        </w:rPr>
      </w:pPr>
      <w:hyperlink w:anchor="_Toc227410292" w:history="1">
        <w:r w:rsidRPr="00CD7A54">
          <w:rPr>
            <w:rStyle w:val="Hyperlink"/>
            <w:noProof/>
          </w:rPr>
          <w:t>Figure 20. Annual actual ET for years 2013 - 2025 in mm.</w:t>
        </w:r>
        <w:r>
          <w:rPr>
            <w:noProof/>
            <w:webHidden/>
          </w:rPr>
          <w:tab/>
        </w:r>
        <w:r>
          <w:rPr>
            <w:noProof/>
            <w:webHidden/>
          </w:rPr>
          <w:fldChar w:fldCharType="begin"/>
        </w:r>
        <w:r>
          <w:rPr>
            <w:noProof/>
            <w:webHidden/>
          </w:rPr>
          <w:instrText xml:space="preserve"> PAGEREF _Toc227410292 \h </w:instrText>
        </w:r>
        <w:r>
          <w:rPr>
            <w:noProof/>
            <w:webHidden/>
          </w:rPr>
        </w:r>
        <w:r>
          <w:rPr>
            <w:noProof/>
            <w:webHidden/>
          </w:rPr>
          <w:fldChar w:fldCharType="separate"/>
        </w:r>
        <w:r w:rsidR="005A559B">
          <w:rPr>
            <w:noProof/>
            <w:webHidden/>
          </w:rPr>
          <w:t>41</w:t>
        </w:r>
        <w:r>
          <w:rPr>
            <w:noProof/>
            <w:webHidden/>
          </w:rPr>
          <w:fldChar w:fldCharType="end"/>
        </w:r>
      </w:hyperlink>
    </w:p>
    <w:p w14:paraId="0E7135C6" w14:textId="39FA617B" w:rsidR="00244816" w:rsidRDefault="00244816">
      <w:pPr>
        <w:pStyle w:val="TableofFigures"/>
        <w:tabs>
          <w:tab w:val="right" w:leader="dot" w:pos="9350"/>
        </w:tabs>
        <w:rPr>
          <w:rFonts w:asciiTheme="minorHAnsi" w:eastAsiaTheme="minorEastAsia" w:hAnsiTheme="minorHAnsi" w:cstheme="minorBidi"/>
          <w:noProof/>
          <w:kern w:val="2"/>
          <w14:ligatures w14:val="standardContextual"/>
        </w:rPr>
      </w:pPr>
      <w:hyperlink w:anchor="_Toc227410293" w:history="1">
        <w:r w:rsidRPr="00CD7A54">
          <w:rPr>
            <w:rStyle w:val="Hyperlink"/>
            <w:noProof/>
          </w:rPr>
          <w:t>Figure 21. Monthly net water availability for years 2012 - 2025 in mm.</w:t>
        </w:r>
        <w:r>
          <w:rPr>
            <w:noProof/>
            <w:webHidden/>
          </w:rPr>
          <w:tab/>
        </w:r>
        <w:r>
          <w:rPr>
            <w:noProof/>
            <w:webHidden/>
          </w:rPr>
          <w:fldChar w:fldCharType="begin"/>
        </w:r>
        <w:r>
          <w:rPr>
            <w:noProof/>
            <w:webHidden/>
          </w:rPr>
          <w:instrText xml:space="preserve"> PAGEREF _Toc227410293 \h </w:instrText>
        </w:r>
        <w:r>
          <w:rPr>
            <w:noProof/>
            <w:webHidden/>
          </w:rPr>
        </w:r>
        <w:r>
          <w:rPr>
            <w:noProof/>
            <w:webHidden/>
          </w:rPr>
          <w:fldChar w:fldCharType="separate"/>
        </w:r>
        <w:r w:rsidR="005A559B">
          <w:rPr>
            <w:noProof/>
            <w:webHidden/>
          </w:rPr>
          <w:t>43</w:t>
        </w:r>
        <w:r>
          <w:rPr>
            <w:noProof/>
            <w:webHidden/>
          </w:rPr>
          <w:fldChar w:fldCharType="end"/>
        </w:r>
      </w:hyperlink>
    </w:p>
    <w:p w14:paraId="2828AC2C" w14:textId="6DB92D48" w:rsidR="00244816" w:rsidRDefault="00244816">
      <w:pPr>
        <w:pStyle w:val="TableofFigures"/>
        <w:tabs>
          <w:tab w:val="right" w:leader="dot" w:pos="9350"/>
        </w:tabs>
        <w:rPr>
          <w:rFonts w:asciiTheme="minorHAnsi" w:eastAsiaTheme="minorEastAsia" w:hAnsiTheme="minorHAnsi" w:cstheme="minorBidi"/>
          <w:noProof/>
          <w:kern w:val="2"/>
          <w14:ligatures w14:val="standardContextual"/>
        </w:rPr>
      </w:pPr>
      <w:hyperlink w:anchor="_Toc227410294" w:history="1">
        <w:r w:rsidRPr="00CD7A54">
          <w:rPr>
            <w:rStyle w:val="Hyperlink"/>
            <w:noProof/>
          </w:rPr>
          <w:t>Figure 22. Net water availability per year in mm.</w:t>
        </w:r>
        <w:r>
          <w:rPr>
            <w:noProof/>
            <w:webHidden/>
          </w:rPr>
          <w:tab/>
        </w:r>
        <w:r>
          <w:rPr>
            <w:noProof/>
            <w:webHidden/>
          </w:rPr>
          <w:fldChar w:fldCharType="begin"/>
        </w:r>
        <w:r>
          <w:rPr>
            <w:noProof/>
            <w:webHidden/>
          </w:rPr>
          <w:instrText xml:space="preserve"> PAGEREF _Toc227410294 \h </w:instrText>
        </w:r>
        <w:r>
          <w:rPr>
            <w:noProof/>
            <w:webHidden/>
          </w:rPr>
        </w:r>
        <w:r>
          <w:rPr>
            <w:noProof/>
            <w:webHidden/>
          </w:rPr>
          <w:fldChar w:fldCharType="separate"/>
        </w:r>
        <w:r w:rsidR="005A559B">
          <w:rPr>
            <w:noProof/>
            <w:webHidden/>
          </w:rPr>
          <w:t>44</w:t>
        </w:r>
        <w:r>
          <w:rPr>
            <w:noProof/>
            <w:webHidden/>
          </w:rPr>
          <w:fldChar w:fldCharType="end"/>
        </w:r>
      </w:hyperlink>
    </w:p>
    <w:p w14:paraId="3B61D326" w14:textId="63C115D1" w:rsidR="00244816" w:rsidRDefault="00244816">
      <w:pPr>
        <w:pStyle w:val="TableofFigures"/>
        <w:tabs>
          <w:tab w:val="right" w:leader="dot" w:pos="9350"/>
        </w:tabs>
        <w:rPr>
          <w:rFonts w:asciiTheme="minorHAnsi" w:eastAsiaTheme="minorEastAsia" w:hAnsiTheme="minorHAnsi" w:cstheme="minorBidi"/>
          <w:noProof/>
          <w:kern w:val="2"/>
          <w14:ligatures w14:val="standardContextual"/>
        </w:rPr>
      </w:pPr>
      <w:hyperlink w:anchor="_Toc227410295" w:history="1">
        <w:r w:rsidRPr="00CD7A54">
          <w:rPr>
            <w:rStyle w:val="Hyperlink"/>
            <w:noProof/>
          </w:rPr>
          <w:t>Figure 23. Quintile-based Rainfall Index time series for Pohnpei showing (A) 1-month, (B) 3-month, and (C) 6-month accumulation windows.</w:t>
        </w:r>
        <w:r>
          <w:rPr>
            <w:noProof/>
            <w:webHidden/>
          </w:rPr>
          <w:tab/>
        </w:r>
        <w:r>
          <w:rPr>
            <w:noProof/>
            <w:webHidden/>
          </w:rPr>
          <w:fldChar w:fldCharType="begin"/>
        </w:r>
        <w:r>
          <w:rPr>
            <w:noProof/>
            <w:webHidden/>
          </w:rPr>
          <w:instrText xml:space="preserve"> PAGEREF _Toc227410295 \h </w:instrText>
        </w:r>
        <w:r>
          <w:rPr>
            <w:noProof/>
            <w:webHidden/>
          </w:rPr>
        </w:r>
        <w:r>
          <w:rPr>
            <w:noProof/>
            <w:webHidden/>
          </w:rPr>
          <w:fldChar w:fldCharType="separate"/>
        </w:r>
        <w:r w:rsidR="005A559B">
          <w:rPr>
            <w:noProof/>
            <w:webHidden/>
          </w:rPr>
          <w:t>45</w:t>
        </w:r>
        <w:r>
          <w:rPr>
            <w:noProof/>
            <w:webHidden/>
          </w:rPr>
          <w:fldChar w:fldCharType="end"/>
        </w:r>
      </w:hyperlink>
    </w:p>
    <w:p w14:paraId="32EE375E" w14:textId="7D13AFE3" w:rsidR="00244816" w:rsidRDefault="00244816">
      <w:pPr>
        <w:pStyle w:val="TableofFigures"/>
        <w:tabs>
          <w:tab w:val="right" w:leader="dot" w:pos="9350"/>
        </w:tabs>
        <w:rPr>
          <w:rFonts w:asciiTheme="minorHAnsi" w:eastAsiaTheme="minorEastAsia" w:hAnsiTheme="minorHAnsi" w:cstheme="minorBidi"/>
          <w:noProof/>
          <w:kern w:val="2"/>
          <w14:ligatures w14:val="standardContextual"/>
        </w:rPr>
      </w:pPr>
      <w:hyperlink w:anchor="_Toc227410296" w:history="1">
        <w:r w:rsidRPr="00CD7A54">
          <w:rPr>
            <w:rStyle w:val="Hyperlink"/>
            <w:noProof/>
          </w:rPr>
          <w:t>Figure 24. Map of Yap. The Geographic Coordinate System is WGS84. Sources: Esri, TomTom, FAO, NOAA, USGS.</w:t>
        </w:r>
        <w:r>
          <w:rPr>
            <w:noProof/>
            <w:webHidden/>
          </w:rPr>
          <w:tab/>
        </w:r>
        <w:r>
          <w:rPr>
            <w:noProof/>
            <w:webHidden/>
          </w:rPr>
          <w:fldChar w:fldCharType="begin"/>
        </w:r>
        <w:r>
          <w:rPr>
            <w:noProof/>
            <w:webHidden/>
          </w:rPr>
          <w:instrText xml:space="preserve"> PAGEREF _Toc227410296 \h </w:instrText>
        </w:r>
        <w:r>
          <w:rPr>
            <w:noProof/>
            <w:webHidden/>
          </w:rPr>
        </w:r>
        <w:r>
          <w:rPr>
            <w:noProof/>
            <w:webHidden/>
          </w:rPr>
          <w:fldChar w:fldCharType="separate"/>
        </w:r>
        <w:r w:rsidR="005A559B">
          <w:rPr>
            <w:noProof/>
            <w:webHidden/>
          </w:rPr>
          <w:t>48</w:t>
        </w:r>
        <w:r>
          <w:rPr>
            <w:noProof/>
            <w:webHidden/>
          </w:rPr>
          <w:fldChar w:fldCharType="end"/>
        </w:r>
      </w:hyperlink>
    </w:p>
    <w:p w14:paraId="77CECD76" w14:textId="6163C2DC" w:rsidR="00244816" w:rsidRDefault="00244816">
      <w:pPr>
        <w:pStyle w:val="TableofFigures"/>
        <w:tabs>
          <w:tab w:val="right" w:leader="dot" w:pos="9350"/>
        </w:tabs>
        <w:rPr>
          <w:rFonts w:asciiTheme="minorHAnsi" w:eastAsiaTheme="minorEastAsia" w:hAnsiTheme="minorHAnsi" w:cstheme="minorBidi"/>
          <w:noProof/>
          <w:kern w:val="2"/>
          <w14:ligatures w14:val="standardContextual"/>
        </w:rPr>
      </w:pPr>
      <w:hyperlink w:anchor="_Toc227410297" w:history="1">
        <w:r w:rsidRPr="00CD7A54">
          <w:rPr>
            <w:rStyle w:val="Hyperlink"/>
            <w:noProof/>
          </w:rPr>
          <w:t>Figure 25. Monthly precipitation for years 1998 - 2025 in mm.</w:t>
        </w:r>
        <w:r>
          <w:rPr>
            <w:noProof/>
            <w:webHidden/>
          </w:rPr>
          <w:tab/>
        </w:r>
        <w:r>
          <w:rPr>
            <w:noProof/>
            <w:webHidden/>
          </w:rPr>
          <w:fldChar w:fldCharType="begin"/>
        </w:r>
        <w:r>
          <w:rPr>
            <w:noProof/>
            <w:webHidden/>
          </w:rPr>
          <w:instrText xml:space="preserve"> PAGEREF _Toc227410297 \h </w:instrText>
        </w:r>
        <w:r>
          <w:rPr>
            <w:noProof/>
            <w:webHidden/>
          </w:rPr>
        </w:r>
        <w:r>
          <w:rPr>
            <w:noProof/>
            <w:webHidden/>
          </w:rPr>
          <w:fldChar w:fldCharType="separate"/>
        </w:r>
        <w:r w:rsidR="005A559B">
          <w:rPr>
            <w:noProof/>
            <w:webHidden/>
          </w:rPr>
          <w:t>50</w:t>
        </w:r>
        <w:r>
          <w:rPr>
            <w:noProof/>
            <w:webHidden/>
          </w:rPr>
          <w:fldChar w:fldCharType="end"/>
        </w:r>
      </w:hyperlink>
    </w:p>
    <w:p w14:paraId="53AD3089" w14:textId="3E93982E" w:rsidR="00244816" w:rsidRDefault="00244816">
      <w:pPr>
        <w:pStyle w:val="TableofFigures"/>
        <w:tabs>
          <w:tab w:val="right" w:leader="dot" w:pos="9350"/>
        </w:tabs>
        <w:rPr>
          <w:rFonts w:asciiTheme="minorHAnsi" w:eastAsiaTheme="minorEastAsia" w:hAnsiTheme="minorHAnsi" w:cstheme="minorBidi"/>
          <w:noProof/>
          <w:kern w:val="2"/>
          <w14:ligatures w14:val="standardContextual"/>
        </w:rPr>
      </w:pPr>
      <w:hyperlink w:anchor="_Toc227410298" w:history="1">
        <w:r w:rsidRPr="00CD7A54">
          <w:rPr>
            <w:rStyle w:val="Hyperlink"/>
            <w:noProof/>
          </w:rPr>
          <w:t>Figure 26. Annual precipitation for years 1998 - 2024 in mm.</w:t>
        </w:r>
        <w:r>
          <w:rPr>
            <w:noProof/>
            <w:webHidden/>
          </w:rPr>
          <w:tab/>
        </w:r>
        <w:r>
          <w:rPr>
            <w:noProof/>
            <w:webHidden/>
          </w:rPr>
          <w:fldChar w:fldCharType="begin"/>
        </w:r>
        <w:r>
          <w:rPr>
            <w:noProof/>
            <w:webHidden/>
          </w:rPr>
          <w:instrText xml:space="preserve"> PAGEREF _Toc227410298 \h </w:instrText>
        </w:r>
        <w:r>
          <w:rPr>
            <w:noProof/>
            <w:webHidden/>
          </w:rPr>
        </w:r>
        <w:r>
          <w:rPr>
            <w:noProof/>
            <w:webHidden/>
          </w:rPr>
          <w:fldChar w:fldCharType="separate"/>
        </w:r>
        <w:r w:rsidR="005A559B">
          <w:rPr>
            <w:noProof/>
            <w:webHidden/>
          </w:rPr>
          <w:t>51</w:t>
        </w:r>
        <w:r>
          <w:rPr>
            <w:noProof/>
            <w:webHidden/>
          </w:rPr>
          <w:fldChar w:fldCharType="end"/>
        </w:r>
      </w:hyperlink>
    </w:p>
    <w:p w14:paraId="362BDD99" w14:textId="18F7B790" w:rsidR="00244816" w:rsidRDefault="00244816">
      <w:pPr>
        <w:pStyle w:val="TableofFigures"/>
        <w:tabs>
          <w:tab w:val="right" w:leader="dot" w:pos="9350"/>
        </w:tabs>
        <w:rPr>
          <w:rFonts w:asciiTheme="minorHAnsi" w:eastAsiaTheme="minorEastAsia" w:hAnsiTheme="minorHAnsi" w:cstheme="minorBidi"/>
          <w:noProof/>
          <w:kern w:val="2"/>
          <w14:ligatures w14:val="standardContextual"/>
        </w:rPr>
      </w:pPr>
      <w:hyperlink w:anchor="_Toc227410299" w:history="1">
        <w:r w:rsidRPr="00CD7A54">
          <w:rPr>
            <w:rStyle w:val="Hyperlink"/>
            <w:noProof/>
          </w:rPr>
          <w:t>Figure 27. Mean monthly precipitation (P) and actual ET (ETa) in mm for Yap (2013-2025).</w:t>
        </w:r>
        <w:r>
          <w:rPr>
            <w:noProof/>
            <w:webHidden/>
          </w:rPr>
          <w:tab/>
        </w:r>
        <w:r>
          <w:rPr>
            <w:noProof/>
            <w:webHidden/>
          </w:rPr>
          <w:fldChar w:fldCharType="begin"/>
        </w:r>
        <w:r>
          <w:rPr>
            <w:noProof/>
            <w:webHidden/>
          </w:rPr>
          <w:instrText xml:space="preserve"> PAGEREF _Toc227410299 \h </w:instrText>
        </w:r>
        <w:r>
          <w:rPr>
            <w:noProof/>
            <w:webHidden/>
          </w:rPr>
        </w:r>
        <w:r>
          <w:rPr>
            <w:noProof/>
            <w:webHidden/>
          </w:rPr>
          <w:fldChar w:fldCharType="separate"/>
        </w:r>
        <w:r w:rsidR="005A559B">
          <w:rPr>
            <w:noProof/>
            <w:webHidden/>
          </w:rPr>
          <w:t>52</w:t>
        </w:r>
        <w:r>
          <w:rPr>
            <w:noProof/>
            <w:webHidden/>
          </w:rPr>
          <w:fldChar w:fldCharType="end"/>
        </w:r>
      </w:hyperlink>
    </w:p>
    <w:p w14:paraId="4BE10AA7" w14:textId="1E3CFEE5" w:rsidR="00244816" w:rsidRDefault="00244816">
      <w:pPr>
        <w:pStyle w:val="TableofFigures"/>
        <w:tabs>
          <w:tab w:val="right" w:leader="dot" w:pos="9350"/>
        </w:tabs>
        <w:rPr>
          <w:rFonts w:asciiTheme="minorHAnsi" w:eastAsiaTheme="minorEastAsia" w:hAnsiTheme="minorHAnsi" w:cstheme="minorBidi"/>
          <w:noProof/>
          <w:kern w:val="2"/>
          <w14:ligatures w14:val="standardContextual"/>
        </w:rPr>
      </w:pPr>
      <w:hyperlink w:anchor="_Toc227410300" w:history="1">
        <w:r w:rsidRPr="00CD7A54">
          <w:rPr>
            <w:rStyle w:val="Hyperlink"/>
            <w:noProof/>
          </w:rPr>
          <w:t>Figure 28. Annual actual ET for years 2013 - 2025 in mm.</w:t>
        </w:r>
        <w:r>
          <w:rPr>
            <w:noProof/>
            <w:webHidden/>
          </w:rPr>
          <w:tab/>
        </w:r>
        <w:r>
          <w:rPr>
            <w:noProof/>
            <w:webHidden/>
          </w:rPr>
          <w:fldChar w:fldCharType="begin"/>
        </w:r>
        <w:r>
          <w:rPr>
            <w:noProof/>
            <w:webHidden/>
          </w:rPr>
          <w:instrText xml:space="preserve"> PAGEREF _Toc227410300 \h </w:instrText>
        </w:r>
        <w:r>
          <w:rPr>
            <w:noProof/>
            <w:webHidden/>
          </w:rPr>
        </w:r>
        <w:r>
          <w:rPr>
            <w:noProof/>
            <w:webHidden/>
          </w:rPr>
          <w:fldChar w:fldCharType="separate"/>
        </w:r>
        <w:r w:rsidR="005A559B">
          <w:rPr>
            <w:noProof/>
            <w:webHidden/>
          </w:rPr>
          <w:t>53</w:t>
        </w:r>
        <w:r>
          <w:rPr>
            <w:noProof/>
            <w:webHidden/>
          </w:rPr>
          <w:fldChar w:fldCharType="end"/>
        </w:r>
      </w:hyperlink>
    </w:p>
    <w:p w14:paraId="13627ADE" w14:textId="030A81AE" w:rsidR="00244816" w:rsidRDefault="00244816">
      <w:pPr>
        <w:pStyle w:val="TableofFigures"/>
        <w:tabs>
          <w:tab w:val="right" w:leader="dot" w:pos="9350"/>
        </w:tabs>
        <w:rPr>
          <w:rFonts w:asciiTheme="minorHAnsi" w:eastAsiaTheme="minorEastAsia" w:hAnsiTheme="minorHAnsi" w:cstheme="minorBidi"/>
          <w:noProof/>
          <w:kern w:val="2"/>
          <w14:ligatures w14:val="standardContextual"/>
        </w:rPr>
      </w:pPr>
      <w:hyperlink w:anchor="_Toc227410301" w:history="1">
        <w:r w:rsidRPr="00CD7A54">
          <w:rPr>
            <w:rStyle w:val="Hyperlink"/>
            <w:noProof/>
          </w:rPr>
          <w:t>Figure 29. Monthly net water availability for years 2012 - 2025 in mm.</w:t>
        </w:r>
        <w:r>
          <w:rPr>
            <w:noProof/>
            <w:webHidden/>
          </w:rPr>
          <w:tab/>
        </w:r>
        <w:r>
          <w:rPr>
            <w:noProof/>
            <w:webHidden/>
          </w:rPr>
          <w:fldChar w:fldCharType="begin"/>
        </w:r>
        <w:r>
          <w:rPr>
            <w:noProof/>
            <w:webHidden/>
          </w:rPr>
          <w:instrText xml:space="preserve"> PAGEREF _Toc227410301 \h </w:instrText>
        </w:r>
        <w:r>
          <w:rPr>
            <w:noProof/>
            <w:webHidden/>
          </w:rPr>
        </w:r>
        <w:r>
          <w:rPr>
            <w:noProof/>
            <w:webHidden/>
          </w:rPr>
          <w:fldChar w:fldCharType="separate"/>
        </w:r>
        <w:r w:rsidR="005A559B">
          <w:rPr>
            <w:noProof/>
            <w:webHidden/>
          </w:rPr>
          <w:t>55</w:t>
        </w:r>
        <w:r>
          <w:rPr>
            <w:noProof/>
            <w:webHidden/>
          </w:rPr>
          <w:fldChar w:fldCharType="end"/>
        </w:r>
      </w:hyperlink>
    </w:p>
    <w:p w14:paraId="44105417" w14:textId="6152F359" w:rsidR="00244816" w:rsidRDefault="00244816">
      <w:pPr>
        <w:pStyle w:val="TableofFigures"/>
        <w:tabs>
          <w:tab w:val="right" w:leader="dot" w:pos="9350"/>
        </w:tabs>
        <w:rPr>
          <w:rFonts w:asciiTheme="minorHAnsi" w:eastAsiaTheme="minorEastAsia" w:hAnsiTheme="minorHAnsi" w:cstheme="minorBidi"/>
          <w:noProof/>
          <w:kern w:val="2"/>
          <w14:ligatures w14:val="standardContextual"/>
        </w:rPr>
      </w:pPr>
      <w:hyperlink w:anchor="_Toc227410302" w:history="1">
        <w:r w:rsidRPr="00CD7A54">
          <w:rPr>
            <w:rStyle w:val="Hyperlink"/>
            <w:noProof/>
          </w:rPr>
          <w:t>Figure 30. Net water availability per year in mm.</w:t>
        </w:r>
        <w:r>
          <w:rPr>
            <w:noProof/>
            <w:webHidden/>
          </w:rPr>
          <w:tab/>
        </w:r>
        <w:r>
          <w:rPr>
            <w:noProof/>
            <w:webHidden/>
          </w:rPr>
          <w:fldChar w:fldCharType="begin"/>
        </w:r>
        <w:r>
          <w:rPr>
            <w:noProof/>
            <w:webHidden/>
          </w:rPr>
          <w:instrText xml:space="preserve"> PAGEREF _Toc227410302 \h </w:instrText>
        </w:r>
        <w:r>
          <w:rPr>
            <w:noProof/>
            <w:webHidden/>
          </w:rPr>
        </w:r>
        <w:r>
          <w:rPr>
            <w:noProof/>
            <w:webHidden/>
          </w:rPr>
          <w:fldChar w:fldCharType="separate"/>
        </w:r>
        <w:r w:rsidR="005A559B">
          <w:rPr>
            <w:noProof/>
            <w:webHidden/>
          </w:rPr>
          <w:t>56</w:t>
        </w:r>
        <w:r>
          <w:rPr>
            <w:noProof/>
            <w:webHidden/>
          </w:rPr>
          <w:fldChar w:fldCharType="end"/>
        </w:r>
      </w:hyperlink>
    </w:p>
    <w:p w14:paraId="4176CE19" w14:textId="1D1C1C0D" w:rsidR="00244816" w:rsidRDefault="00244816">
      <w:pPr>
        <w:pStyle w:val="TableofFigures"/>
        <w:tabs>
          <w:tab w:val="right" w:leader="dot" w:pos="9350"/>
        </w:tabs>
        <w:rPr>
          <w:rFonts w:asciiTheme="minorHAnsi" w:eastAsiaTheme="minorEastAsia" w:hAnsiTheme="minorHAnsi" w:cstheme="minorBidi"/>
          <w:noProof/>
          <w:kern w:val="2"/>
          <w14:ligatures w14:val="standardContextual"/>
        </w:rPr>
      </w:pPr>
      <w:hyperlink w:anchor="_Toc227410303" w:history="1">
        <w:r w:rsidRPr="00CD7A54">
          <w:rPr>
            <w:rStyle w:val="Hyperlink"/>
            <w:noProof/>
          </w:rPr>
          <w:t>Figure 31. Quintile-based Rainfall Index time series for Yap showing (A) 1-month, (B) 3-month, and (C) 6-month accumulation windows. Bars represent observed precipitation (or rolling sums) color-coded by quintile category. The dashed line shows the baseline median for each calendar month.</w:t>
        </w:r>
        <w:r>
          <w:rPr>
            <w:noProof/>
            <w:webHidden/>
          </w:rPr>
          <w:tab/>
        </w:r>
        <w:r>
          <w:rPr>
            <w:noProof/>
            <w:webHidden/>
          </w:rPr>
          <w:fldChar w:fldCharType="begin"/>
        </w:r>
        <w:r>
          <w:rPr>
            <w:noProof/>
            <w:webHidden/>
          </w:rPr>
          <w:instrText xml:space="preserve"> PAGEREF _Toc227410303 \h </w:instrText>
        </w:r>
        <w:r>
          <w:rPr>
            <w:noProof/>
            <w:webHidden/>
          </w:rPr>
        </w:r>
        <w:r>
          <w:rPr>
            <w:noProof/>
            <w:webHidden/>
          </w:rPr>
          <w:fldChar w:fldCharType="separate"/>
        </w:r>
        <w:r w:rsidR="005A559B">
          <w:rPr>
            <w:noProof/>
            <w:webHidden/>
          </w:rPr>
          <w:t>58</w:t>
        </w:r>
        <w:r>
          <w:rPr>
            <w:noProof/>
            <w:webHidden/>
          </w:rPr>
          <w:fldChar w:fldCharType="end"/>
        </w:r>
      </w:hyperlink>
    </w:p>
    <w:p w14:paraId="05CD6376" w14:textId="52151660" w:rsidR="00244816" w:rsidRDefault="00244816">
      <w:pPr>
        <w:pStyle w:val="TableofFigures"/>
        <w:tabs>
          <w:tab w:val="right" w:leader="dot" w:pos="9350"/>
        </w:tabs>
        <w:rPr>
          <w:rFonts w:asciiTheme="minorHAnsi" w:eastAsiaTheme="minorEastAsia" w:hAnsiTheme="minorHAnsi" w:cstheme="minorBidi"/>
          <w:noProof/>
          <w:kern w:val="2"/>
          <w14:ligatures w14:val="standardContextual"/>
        </w:rPr>
      </w:pPr>
      <w:hyperlink w:anchor="_Toc227410304" w:history="1">
        <w:r w:rsidRPr="00CD7A54">
          <w:rPr>
            <w:rStyle w:val="Hyperlink"/>
            <w:noProof/>
          </w:rPr>
          <w:t>Figure 32. Map of the Island Weno with city Weno in the Chuuk Lagoon. The Geographic Coordinate System is WGS84. Sources: Esri, TomTom, FAO, NOAA, USGS.</w:t>
        </w:r>
        <w:r>
          <w:rPr>
            <w:noProof/>
            <w:webHidden/>
          </w:rPr>
          <w:tab/>
        </w:r>
        <w:r>
          <w:rPr>
            <w:noProof/>
            <w:webHidden/>
          </w:rPr>
          <w:fldChar w:fldCharType="begin"/>
        </w:r>
        <w:r>
          <w:rPr>
            <w:noProof/>
            <w:webHidden/>
          </w:rPr>
          <w:instrText xml:space="preserve"> PAGEREF _Toc227410304 \h </w:instrText>
        </w:r>
        <w:r>
          <w:rPr>
            <w:noProof/>
            <w:webHidden/>
          </w:rPr>
        </w:r>
        <w:r>
          <w:rPr>
            <w:noProof/>
            <w:webHidden/>
          </w:rPr>
          <w:fldChar w:fldCharType="separate"/>
        </w:r>
        <w:r w:rsidR="005A559B">
          <w:rPr>
            <w:noProof/>
            <w:webHidden/>
          </w:rPr>
          <w:t>62</w:t>
        </w:r>
        <w:r>
          <w:rPr>
            <w:noProof/>
            <w:webHidden/>
          </w:rPr>
          <w:fldChar w:fldCharType="end"/>
        </w:r>
      </w:hyperlink>
    </w:p>
    <w:p w14:paraId="336D5932" w14:textId="7080E7D9" w:rsidR="00244816" w:rsidRDefault="00244816">
      <w:pPr>
        <w:pStyle w:val="TableofFigures"/>
        <w:tabs>
          <w:tab w:val="right" w:leader="dot" w:pos="9350"/>
        </w:tabs>
        <w:rPr>
          <w:rFonts w:asciiTheme="minorHAnsi" w:eastAsiaTheme="minorEastAsia" w:hAnsiTheme="minorHAnsi" w:cstheme="minorBidi"/>
          <w:noProof/>
          <w:kern w:val="2"/>
          <w14:ligatures w14:val="standardContextual"/>
        </w:rPr>
      </w:pPr>
      <w:hyperlink w:anchor="_Toc227410305" w:history="1">
        <w:r w:rsidRPr="00CD7A54">
          <w:rPr>
            <w:rStyle w:val="Hyperlink"/>
            <w:noProof/>
          </w:rPr>
          <w:t>Figure 33. Monthly precipitation for years 1998 - 2025 in mm.</w:t>
        </w:r>
        <w:r>
          <w:rPr>
            <w:noProof/>
            <w:webHidden/>
          </w:rPr>
          <w:tab/>
        </w:r>
        <w:r>
          <w:rPr>
            <w:noProof/>
            <w:webHidden/>
          </w:rPr>
          <w:fldChar w:fldCharType="begin"/>
        </w:r>
        <w:r>
          <w:rPr>
            <w:noProof/>
            <w:webHidden/>
          </w:rPr>
          <w:instrText xml:space="preserve"> PAGEREF _Toc227410305 \h </w:instrText>
        </w:r>
        <w:r>
          <w:rPr>
            <w:noProof/>
            <w:webHidden/>
          </w:rPr>
        </w:r>
        <w:r>
          <w:rPr>
            <w:noProof/>
            <w:webHidden/>
          </w:rPr>
          <w:fldChar w:fldCharType="separate"/>
        </w:r>
        <w:r w:rsidR="005A559B">
          <w:rPr>
            <w:noProof/>
            <w:webHidden/>
          </w:rPr>
          <w:t>64</w:t>
        </w:r>
        <w:r>
          <w:rPr>
            <w:noProof/>
            <w:webHidden/>
          </w:rPr>
          <w:fldChar w:fldCharType="end"/>
        </w:r>
      </w:hyperlink>
    </w:p>
    <w:p w14:paraId="050396E7" w14:textId="5844F140" w:rsidR="00244816" w:rsidRDefault="00244816">
      <w:pPr>
        <w:pStyle w:val="TableofFigures"/>
        <w:tabs>
          <w:tab w:val="right" w:leader="dot" w:pos="9350"/>
        </w:tabs>
        <w:rPr>
          <w:rFonts w:asciiTheme="minorHAnsi" w:eastAsiaTheme="minorEastAsia" w:hAnsiTheme="minorHAnsi" w:cstheme="minorBidi"/>
          <w:noProof/>
          <w:kern w:val="2"/>
          <w14:ligatures w14:val="standardContextual"/>
        </w:rPr>
      </w:pPr>
      <w:hyperlink w:anchor="_Toc227410306" w:history="1">
        <w:r w:rsidRPr="00CD7A54">
          <w:rPr>
            <w:rStyle w:val="Hyperlink"/>
            <w:noProof/>
          </w:rPr>
          <w:t>Figure 34. Annual precipitation for years 1998 - 2024 in mm.</w:t>
        </w:r>
        <w:r>
          <w:rPr>
            <w:noProof/>
            <w:webHidden/>
          </w:rPr>
          <w:tab/>
        </w:r>
        <w:r>
          <w:rPr>
            <w:noProof/>
            <w:webHidden/>
          </w:rPr>
          <w:fldChar w:fldCharType="begin"/>
        </w:r>
        <w:r>
          <w:rPr>
            <w:noProof/>
            <w:webHidden/>
          </w:rPr>
          <w:instrText xml:space="preserve"> PAGEREF _Toc227410306 \h </w:instrText>
        </w:r>
        <w:r>
          <w:rPr>
            <w:noProof/>
            <w:webHidden/>
          </w:rPr>
        </w:r>
        <w:r>
          <w:rPr>
            <w:noProof/>
            <w:webHidden/>
          </w:rPr>
          <w:fldChar w:fldCharType="separate"/>
        </w:r>
        <w:r w:rsidR="005A559B">
          <w:rPr>
            <w:noProof/>
            <w:webHidden/>
          </w:rPr>
          <w:t>65</w:t>
        </w:r>
        <w:r>
          <w:rPr>
            <w:noProof/>
            <w:webHidden/>
          </w:rPr>
          <w:fldChar w:fldCharType="end"/>
        </w:r>
      </w:hyperlink>
    </w:p>
    <w:p w14:paraId="75C0D72F" w14:textId="13473972" w:rsidR="00244816" w:rsidRDefault="00244816">
      <w:pPr>
        <w:pStyle w:val="TableofFigures"/>
        <w:tabs>
          <w:tab w:val="right" w:leader="dot" w:pos="9350"/>
        </w:tabs>
        <w:rPr>
          <w:rFonts w:asciiTheme="minorHAnsi" w:eastAsiaTheme="minorEastAsia" w:hAnsiTheme="minorHAnsi" w:cstheme="minorBidi"/>
          <w:noProof/>
          <w:kern w:val="2"/>
          <w14:ligatures w14:val="standardContextual"/>
        </w:rPr>
      </w:pPr>
      <w:hyperlink w:anchor="_Toc227410307" w:history="1">
        <w:r w:rsidRPr="00CD7A54">
          <w:rPr>
            <w:rStyle w:val="Hyperlink"/>
            <w:noProof/>
          </w:rPr>
          <w:t>Figure 35. Mean monthly precipitation (P) and actual ET (ETa) in mm for Weno (2013-2025).</w:t>
        </w:r>
        <w:r>
          <w:rPr>
            <w:noProof/>
            <w:webHidden/>
          </w:rPr>
          <w:tab/>
        </w:r>
        <w:r>
          <w:rPr>
            <w:noProof/>
            <w:webHidden/>
          </w:rPr>
          <w:fldChar w:fldCharType="begin"/>
        </w:r>
        <w:r>
          <w:rPr>
            <w:noProof/>
            <w:webHidden/>
          </w:rPr>
          <w:instrText xml:space="preserve"> PAGEREF _Toc227410307 \h </w:instrText>
        </w:r>
        <w:r>
          <w:rPr>
            <w:noProof/>
            <w:webHidden/>
          </w:rPr>
        </w:r>
        <w:r>
          <w:rPr>
            <w:noProof/>
            <w:webHidden/>
          </w:rPr>
          <w:fldChar w:fldCharType="separate"/>
        </w:r>
        <w:r w:rsidR="005A559B">
          <w:rPr>
            <w:noProof/>
            <w:webHidden/>
          </w:rPr>
          <w:t>66</w:t>
        </w:r>
        <w:r>
          <w:rPr>
            <w:noProof/>
            <w:webHidden/>
          </w:rPr>
          <w:fldChar w:fldCharType="end"/>
        </w:r>
      </w:hyperlink>
    </w:p>
    <w:p w14:paraId="020C19EB" w14:textId="53FE67BA" w:rsidR="00244816" w:rsidRDefault="00244816">
      <w:pPr>
        <w:pStyle w:val="TableofFigures"/>
        <w:tabs>
          <w:tab w:val="right" w:leader="dot" w:pos="9350"/>
        </w:tabs>
        <w:rPr>
          <w:rFonts w:asciiTheme="minorHAnsi" w:eastAsiaTheme="minorEastAsia" w:hAnsiTheme="minorHAnsi" w:cstheme="minorBidi"/>
          <w:noProof/>
          <w:kern w:val="2"/>
          <w14:ligatures w14:val="standardContextual"/>
        </w:rPr>
      </w:pPr>
      <w:hyperlink w:anchor="_Toc227410308" w:history="1">
        <w:r w:rsidRPr="00CD7A54">
          <w:rPr>
            <w:rStyle w:val="Hyperlink"/>
            <w:noProof/>
          </w:rPr>
          <w:t>Figure 36. Annual actual ET for years 2013 - 2025 in mm.</w:t>
        </w:r>
        <w:r>
          <w:rPr>
            <w:noProof/>
            <w:webHidden/>
          </w:rPr>
          <w:tab/>
        </w:r>
        <w:r>
          <w:rPr>
            <w:noProof/>
            <w:webHidden/>
          </w:rPr>
          <w:fldChar w:fldCharType="begin"/>
        </w:r>
        <w:r>
          <w:rPr>
            <w:noProof/>
            <w:webHidden/>
          </w:rPr>
          <w:instrText xml:space="preserve"> PAGEREF _Toc227410308 \h </w:instrText>
        </w:r>
        <w:r>
          <w:rPr>
            <w:noProof/>
            <w:webHidden/>
          </w:rPr>
        </w:r>
        <w:r>
          <w:rPr>
            <w:noProof/>
            <w:webHidden/>
          </w:rPr>
          <w:fldChar w:fldCharType="separate"/>
        </w:r>
        <w:r w:rsidR="005A559B">
          <w:rPr>
            <w:noProof/>
            <w:webHidden/>
          </w:rPr>
          <w:t>67</w:t>
        </w:r>
        <w:r>
          <w:rPr>
            <w:noProof/>
            <w:webHidden/>
          </w:rPr>
          <w:fldChar w:fldCharType="end"/>
        </w:r>
      </w:hyperlink>
    </w:p>
    <w:p w14:paraId="254AF8F5" w14:textId="4671CAA5" w:rsidR="00244816" w:rsidRDefault="00244816">
      <w:pPr>
        <w:pStyle w:val="TableofFigures"/>
        <w:tabs>
          <w:tab w:val="right" w:leader="dot" w:pos="9350"/>
        </w:tabs>
        <w:rPr>
          <w:rFonts w:asciiTheme="minorHAnsi" w:eastAsiaTheme="minorEastAsia" w:hAnsiTheme="minorHAnsi" w:cstheme="minorBidi"/>
          <w:noProof/>
          <w:kern w:val="2"/>
          <w14:ligatures w14:val="standardContextual"/>
        </w:rPr>
      </w:pPr>
      <w:hyperlink w:anchor="_Toc227410309" w:history="1">
        <w:r w:rsidRPr="00CD7A54">
          <w:rPr>
            <w:rStyle w:val="Hyperlink"/>
            <w:noProof/>
          </w:rPr>
          <w:t>Figure 37. Monthly net water availability for years 2012 - 2025 in mm.</w:t>
        </w:r>
        <w:r>
          <w:rPr>
            <w:noProof/>
            <w:webHidden/>
          </w:rPr>
          <w:tab/>
        </w:r>
        <w:r>
          <w:rPr>
            <w:noProof/>
            <w:webHidden/>
          </w:rPr>
          <w:fldChar w:fldCharType="begin"/>
        </w:r>
        <w:r>
          <w:rPr>
            <w:noProof/>
            <w:webHidden/>
          </w:rPr>
          <w:instrText xml:space="preserve"> PAGEREF _Toc227410309 \h </w:instrText>
        </w:r>
        <w:r>
          <w:rPr>
            <w:noProof/>
            <w:webHidden/>
          </w:rPr>
        </w:r>
        <w:r>
          <w:rPr>
            <w:noProof/>
            <w:webHidden/>
          </w:rPr>
          <w:fldChar w:fldCharType="separate"/>
        </w:r>
        <w:r w:rsidR="005A559B">
          <w:rPr>
            <w:noProof/>
            <w:webHidden/>
          </w:rPr>
          <w:t>69</w:t>
        </w:r>
        <w:r>
          <w:rPr>
            <w:noProof/>
            <w:webHidden/>
          </w:rPr>
          <w:fldChar w:fldCharType="end"/>
        </w:r>
      </w:hyperlink>
    </w:p>
    <w:p w14:paraId="483D8567" w14:textId="415D94B6" w:rsidR="00244816" w:rsidRDefault="00244816">
      <w:pPr>
        <w:pStyle w:val="TableofFigures"/>
        <w:tabs>
          <w:tab w:val="right" w:leader="dot" w:pos="9350"/>
        </w:tabs>
        <w:rPr>
          <w:rFonts w:asciiTheme="minorHAnsi" w:eastAsiaTheme="minorEastAsia" w:hAnsiTheme="minorHAnsi" w:cstheme="minorBidi"/>
          <w:noProof/>
          <w:kern w:val="2"/>
          <w14:ligatures w14:val="standardContextual"/>
        </w:rPr>
      </w:pPr>
      <w:hyperlink w:anchor="_Toc227410310" w:history="1">
        <w:r w:rsidRPr="00CD7A54">
          <w:rPr>
            <w:rStyle w:val="Hyperlink"/>
            <w:noProof/>
          </w:rPr>
          <w:t>Figure 38. Net water availability per year in mm.</w:t>
        </w:r>
        <w:r>
          <w:rPr>
            <w:noProof/>
            <w:webHidden/>
          </w:rPr>
          <w:tab/>
        </w:r>
        <w:r>
          <w:rPr>
            <w:noProof/>
            <w:webHidden/>
          </w:rPr>
          <w:fldChar w:fldCharType="begin"/>
        </w:r>
        <w:r>
          <w:rPr>
            <w:noProof/>
            <w:webHidden/>
          </w:rPr>
          <w:instrText xml:space="preserve"> PAGEREF _Toc227410310 \h </w:instrText>
        </w:r>
        <w:r>
          <w:rPr>
            <w:noProof/>
            <w:webHidden/>
          </w:rPr>
        </w:r>
        <w:r>
          <w:rPr>
            <w:noProof/>
            <w:webHidden/>
          </w:rPr>
          <w:fldChar w:fldCharType="separate"/>
        </w:r>
        <w:r w:rsidR="005A559B">
          <w:rPr>
            <w:noProof/>
            <w:webHidden/>
          </w:rPr>
          <w:t>70</w:t>
        </w:r>
        <w:r>
          <w:rPr>
            <w:noProof/>
            <w:webHidden/>
          </w:rPr>
          <w:fldChar w:fldCharType="end"/>
        </w:r>
      </w:hyperlink>
    </w:p>
    <w:p w14:paraId="7B33AC50" w14:textId="0DF9500D" w:rsidR="00244816" w:rsidRDefault="00244816">
      <w:pPr>
        <w:pStyle w:val="TableofFigures"/>
        <w:tabs>
          <w:tab w:val="right" w:leader="dot" w:pos="9350"/>
        </w:tabs>
        <w:rPr>
          <w:rFonts w:asciiTheme="minorHAnsi" w:eastAsiaTheme="minorEastAsia" w:hAnsiTheme="minorHAnsi" w:cstheme="minorBidi"/>
          <w:noProof/>
          <w:kern w:val="2"/>
          <w14:ligatures w14:val="standardContextual"/>
        </w:rPr>
      </w:pPr>
      <w:hyperlink w:anchor="_Toc227410311" w:history="1">
        <w:r w:rsidRPr="00CD7A54">
          <w:rPr>
            <w:rStyle w:val="Hyperlink"/>
            <w:noProof/>
          </w:rPr>
          <w:t>Figure 39. Quintile-based Rainfall Index time series for Weno (Chuuk) showing (A) 1-month, (B) 3-month, and (C) 6-month accumulation windows.</w:t>
        </w:r>
        <w:r>
          <w:rPr>
            <w:noProof/>
            <w:webHidden/>
          </w:rPr>
          <w:tab/>
        </w:r>
        <w:r>
          <w:rPr>
            <w:noProof/>
            <w:webHidden/>
          </w:rPr>
          <w:fldChar w:fldCharType="begin"/>
        </w:r>
        <w:r>
          <w:rPr>
            <w:noProof/>
            <w:webHidden/>
          </w:rPr>
          <w:instrText xml:space="preserve"> PAGEREF _Toc227410311 \h </w:instrText>
        </w:r>
        <w:r>
          <w:rPr>
            <w:noProof/>
            <w:webHidden/>
          </w:rPr>
        </w:r>
        <w:r>
          <w:rPr>
            <w:noProof/>
            <w:webHidden/>
          </w:rPr>
          <w:fldChar w:fldCharType="separate"/>
        </w:r>
        <w:r w:rsidR="005A559B">
          <w:rPr>
            <w:noProof/>
            <w:webHidden/>
          </w:rPr>
          <w:t>72</w:t>
        </w:r>
        <w:r>
          <w:rPr>
            <w:noProof/>
            <w:webHidden/>
          </w:rPr>
          <w:fldChar w:fldCharType="end"/>
        </w:r>
      </w:hyperlink>
    </w:p>
    <w:p w14:paraId="3038F8D2" w14:textId="0866687C" w:rsidR="00203691" w:rsidRDefault="00687C34" w:rsidP="00712B5C">
      <w:pPr>
        <w:pStyle w:val="TableofFigures"/>
        <w:tabs>
          <w:tab w:val="left" w:pos="1440"/>
          <w:tab w:val="right" w:leader="dot" w:pos="9350"/>
        </w:tabs>
      </w:pPr>
      <w:r>
        <w:fldChar w:fldCharType="end"/>
      </w:r>
    </w:p>
    <w:p w14:paraId="139FB63D" w14:textId="77777777" w:rsidR="005A559B" w:rsidRDefault="00203691" w:rsidP="00203691">
      <w:pPr>
        <w:pStyle w:val="TOCHeading2"/>
        <w:rPr>
          <w:noProof/>
        </w:rPr>
      </w:pPr>
      <w:r>
        <w:t>Tables</w:t>
      </w:r>
      <w:r>
        <w:rPr>
          <w:color w:val="2B579A"/>
          <w:shd w:val="clear" w:color="auto" w:fill="E6E6E6"/>
        </w:rPr>
        <w:fldChar w:fldCharType="begin"/>
      </w:r>
      <w:r>
        <w:instrText xml:space="preserve"> TOC \f T \n \h \z \t "TableTitle" \c "Table" </w:instrText>
      </w:r>
      <w:r>
        <w:rPr>
          <w:color w:val="2B579A"/>
          <w:shd w:val="clear" w:color="auto" w:fill="E6E6E6"/>
        </w:rPr>
        <w:fldChar w:fldCharType="separate"/>
      </w:r>
    </w:p>
    <w:p w14:paraId="711EFB54" w14:textId="77777777" w:rsidR="005A559B" w:rsidRDefault="005A559B">
      <w:pPr>
        <w:pStyle w:val="TableofFigures"/>
        <w:tabs>
          <w:tab w:val="right" w:leader="dot" w:pos="9350"/>
        </w:tabs>
        <w:rPr>
          <w:rFonts w:asciiTheme="minorHAnsi" w:eastAsiaTheme="minorEastAsia" w:hAnsiTheme="minorHAnsi" w:cstheme="minorBidi"/>
          <w:noProof/>
          <w:kern w:val="2"/>
          <w14:ligatures w14:val="standardContextual"/>
        </w:rPr>
      </w:pPr>
      <w:hyperlink w:anchor="_Toc228288460" w:history="1">
        <w:r w:rsidRPr="003E150F">
          <w:rPr>
            <w:rStyle w:val="Hyperlink"/>
            <w:noProof/>
          </w:rPr>
          <w:t>International System of Units to U.S. customary units</w:t>
        </w:r>
      </w:hyperlink>
    </w:p>
    <w:p w14:paraId="4C9CB60F" w14:textId="77777777" w:rsidR="005A559B" w:rsidRDefault="005A559B">
      <w:pPr>
        <w:pStyle w:val="TableofFigures"/>
        <w:tabs>
          <w:tab w:val="right" w:leader="dot" w:pos="9350"/>
        </w:tabs>
        <w:rPr>
          <w:rFonts w:asciiTheme="minorHAnsi" w:eastAsiaTheme="minorEastAsia" w:hAnsiTheme="minorHAnsi" w:cstheme="minorBidi"/>
          <w:noProof/>
          <w:kern w:val="2"/>
          <w14:ligatures w14:val="standardContextual"/>
        </w:rPr>
      </w:pPr>
      <w:hyperlink w:anchor="_Toc228288461" w:history="1">
        <w:r w:rsidRPr="003E150F">
          <w:rPr>
            <w:rStyle w:val="Hyperlink"/>
            <w:noProof/>
          </w:rPr>
          <w:t>Table 1. IMERG Precipitation Summary (1998–2024) for Kosrae</w:t>
        </w:r>
      </w:hyperlink>
    </w:p>
    <w:p w14:paraId="330130B2" w14:textId="77777777" w:rsidR="005A559B" w:rsidRDefault="005A559B">
      <w:pPr>
        <w:pStyle w:val="TableofFigures"/>
        <w:tabs>
          <w:tab w:val="right" w:leader="dot" w:pos="9350"/>
        </w:tabs>
        <w:rPr>
          <w:rFonts w:asciiTheme="minorHAnsi" w:eastAsiaTheme="minorEastAsia" w:hAnsiTheme="minorHAnsi" w:cstheme="minorBidi"/>
          <w:noProof/>
          <w:kern w:val="2"/>
          <w14:ligatures w14:val="standardContextual"/>
        </w:rPr>
      </w:pPr>
      <w:hyperlink w:anchor="_Toc228288462" w:history="1">
        <w:r w:rsidRPr="003E150F">
          <w:rPr>
            <w:rStyle w:val="Hyperlink"/>
            <w:noProof/>
          </w:rPr>
          <w:t>Table 2. Summary of notable drought episodes at Kosrae.</w:t>
        </w:r>
      </w:hyperlink>
    </w:p>
    <w:p w14:paraId="4FB5EEEF" w14:textId="77777777" w:rsidR="005A559B" w:rsidRDefault="005A559B">
      <w:pPr>
        <w:pStyle w:val="TableofFigures"/>
        <w:tabs>
          <w:tab w:val="right" w:leader="dot" w:pos="9350"/>
        </w:tabs>
        <w:rPr>
          <w:rFonts w:asciiTheme="minorHAnsi" w:eastAsiaTheme="minorEastAsia" w:hAnsiTheme="minorHAnsi" w:cstheme="minorBidi"/>
          <w:noProof/>
          <w:kern w:val="2"/>
          <w14:ligatures w14:val="standardContextual"/>
        </w:rPr>
      </w:pPr>
      <w:hyperlink w:anchor="_Toc228288463" w:history="1">
        <w:r w:rsidRPr="003E150F">
          <w:rPr>
            <w:rStyle w:val="Hyperlink"/>
            <w:noProof/>
          </w:rPr>
          <w:t>Table 3. Alert thresholds applied to GFS precipitation forecasts.</w:t>
        </w:r>
      </w:hyperlink>
    </w:p>
    <w:p w14:paraId="119C319A" w14:textId="77777777" w:rsidR="005A559B" w:rsidRDefault="005A559B">
      <w:pPr>
        <w:pStyle w:val="TableofFigures"/>
        <w:tabs>
          <w:tab w:val="right" w:leader="dot" w:pos="9350"/>
        </w:tabs>
        <w:rPr>
          <w:rFonts w:asciiTheme="minorHAnsi" w:eastAsiaTheme="minorEastAsia" w:hAnsiTheme="minorHAnsi" w:cstheme="minorBidi"/>
          <w:noProof/>
          <w:kern w:val="2"/>
          <w14:ligatures w14:val="standardContextual"/>
        </w:rPr>
      </w:pPr>
      <w:hyperlink w:anchor="_Toc228288464" w:history="1">
        <w:r w:rsidRPr="003E150F">
          <w:rPr>
            <w:rStyle w:val="Hyperlink"/>
            <w:noProof/>
          </w:rPr>
          <w:t>Table 4. GFS 7-day precipitation forecast (mm) for FSM study locations, March 10–16, 2026. GFS model run 20260310, 12z cycle. No daily or weekly alert thresholds were exceeded.</w:t>
        </w:r>
      </w:hyperlink>
    </w:p>
    <w:p w14:paraId="30278E34" w14:textId="77777777" w:rsidR="005A559B" w:rsidRDefault="005A559B">
      <w:pPr>
        <w:pStyle w:val="TableofFigures"/>
        <w:tabs>
          <w:tab w:val="right" w:leader="dot" w:pos="9350"/>
        </w:tabs>
        <w:rPr>
          <w:rFonts w:asciiTheme="minorHAnsi" w:eastAsiaTheme="minorEastAsia" w:hAnsiTheme="minorHAnsi" w:cstheme="minorBidi"/>
          <w:noProof/>
          <w:kern w:val="2"/>
          <w14:ligatures w14:val="standardContextual"/>
        </w:rPr>
      </w:pPr>
      <w:hyperlink w:anchor="_Toc228288465" w:history="1">
        <w:r w:rsidRPr="003E150F">
          <w:rPr>
            <w:rStyle w:val="Hyperlink"/>
            <w:noProof/>
          </w:rPr>
          <w:t>Table 5. Mean IMERG Precipitation Statistics (1998–2024) for Pohnpei</w:t>
        </w:r>
      </w:hyperlink>
    </w:p>
    <w:p w14:paraId="78872FA3" w14:textId="77777777" w:rsidR="005A559B" w:rsidRDefault="005A559B">
      <w:pPr>
        <w:pStyle w:val="TableofFigures"/>
        <w:tabs>
          <w:tab w:val="right" w:leader="dot" w:pos="9350"/>
        </w:tabs>
        <w:rPr>
          <w:rFonts w:asciiTheme="minorHAnsi" w:eastAsiaTheme="minorEastAsia" w:hAnsiTheme="minorHAnsi" w:cstheme="minorBidi"/>
          <w:noProof/>
          <w:kern w:val="2"/>
          <w14:ligatures w14:val="standardContextual"/>
        </w:rPr>
      </w:pPr>
      <w:hyperlink w:anchor="_Toc228288466" w:history="1">
        <w:r w:rsidRPr="003E150F">
          <w:rPr>
            <w:rStyle w:val="Hyperlink"/>
            <w:noProof/>
          </w:rPr>
          <w:t>Table 6. Summary of notable drought episodes at Pohnpei.</w:t>
        </w:r>
      </w:hyperlink>
    </w:p>
    <w:p w14:paraId="753B7CBE" w14:textId="77777777" w:rsidR="005A559B" w:rsidRDefault="005A559B">
      <w:pPr>
        <w:pStyle w:val="TableofFigures"/>
        <w:tabs>
          <w:tab w:val="right" w:leader="dot" w:pos="9350"/>
        </w:tabs>
        <w:rPr>
          <w:rFonts w:asciiTheme="minorHAnsi" w:eastAsiaTheme="minorEastAsia" w:hAnsiTheme="minorHAnsi" w:cstheme="minorBidi"/>
          <w:noProof/>
          <w:kern w:val="2"/>
          <w14:ligatures w14:val="standardContextual"/>
        </w:rPr>
      </w:pPr>
      <w:hyperlink w:anchor="_Toc228288467" w:history="1">
        <w:r w:rsidRPr="003E150F">
          <w:rPr>
            <w:rStyle w:val="Hyperlink"/>
            <w:noProof/>
          </w:rPr>
          <w:t>Table 7. Mean IMERG precipitation statistics (1998–2024) for Yap</w:t>
        </w:r>
      </w:hyperlink>
    </w:p>
    <w:p w14:paraId="062D8109" w14:textId="77777777" w:rsidR="005A559B" w:rsidRDefault="005A559B">
      <w:pPr>
        <w:pStyle w:val="TableofFigures"/>
        <w:tabs>
          <w:tab w:val="right" w:leader="dot" w:pos="9350"/>
        </w:tabs>
        <w:rPr>
          <w:rFonts w:asciiTheme="minorHAnsi" w:eastAsiaTheme="minorEastAsia" w:hAnsiTheme="minorHAnsi" w:cstheme="minorBidi"/>
          <w:noProof/>
          <w:kern w:val="2"/>
          <w14:ligatures w14:val="standardContextual"/>
        </w:rPr>
      </w:pPr>
      <w:hyperlink w:anchor="_Toc228288468" w:history="1">
        <w:r w:rsidRPr="003E150F">
          <w:rPr>
            <w:rStyle w:val="Hyperlink"/>
            <w:noProof/>
          </w:rPr>
          <w:t>Table 8. Summary of notable drought episodes at Yap, defined as three or more consecutive months classified as Drier or Dry at the 1-month Rainfall Index.</w:t>
        </w:r>
      </w:hyperlink>
    </w:p>
    <w:p w14:paraId="1ABBDB10" w14:textId="77777777" w:rsidR="005A559B" w:rsidRDefault="005A559B">
      <w:pPr>
        <w:pStyle w:val="TableofFigures"/>
        <w:tabs>
          <w:tab w:val="right" w:leader="dot" w:pos="9350"/>
        </w:tabs>
        <w:rPr>
          <w:rFonts w:asciiTheme="minorHAnsi" w:eastAsiaTheme="minorEastAsia" w:hAnsiTheme="minorHAnsi" w:cstheme="minorBidi"/>
          <w:noProof/>
          <w:kern w:val="2"/>
          <w14:ligatures w14:val="standardContextual"/>
        </w:rPr>
      </w:pPr>
      <w:hyperlink w:anchor="_Toc228288469" w:history="1">
        <w:r w:rsidRPr="003E150F">
          <w:rPr>
            <w:rStyle w:val="Hyperlink"/>
            <w:noProof/>
          </w:rPr>
          <w:t>Table 9. Mean IMERG precipitation statistics (1998–2024) for Weno</w:t>
        </w:r>
      </w:hyperlink>
    </w:p>
    <w:p w14:paraId="33CFAF68" w14:textId="77777777" w:rsidR="005A559B" w:rsidRDefault="005A559B">
      <w:pPr>
        <w:pStyle w:val="TableofFigures"/>
        <w:tabs>
          <w:tab w:val="right" w:leader="dot" w:pos="9350"/>
        </w:tabs>
        <w:rPr>
          <w:rFonts w:asciiTheme="minorHAnsi" w:eastAsiaTheme="minorEastAsia" w:hAnsiTheme="minorHAnsi" w:cstheme="minorBidi"/>
          <w:noProof/>
          <w:kern w:val="2"/>
          <w14:ligatures w14:val="standardContextual"/>
        </w:rPr>
      </w:pPr>
      <w:hyperlink w:anchor="_Toc228288470" w:history="1">
        <w:r w:rsidRPr="003E150F">
          <w:rPr>
            <w:rStyle w:val="Hyperlink"/>
            <w:noProof/>
          </w:rPr>
          <w:t>Table 10. Summary of notable drought episodes at Weno (Chuuk).</w:t>
        </w:r>
      </w:hyperlink>
    </w:p>
    <w:p w14:paraId="16E3E585" w14:textId="75BCBF15" w:rsidR="00203691" w:rsidRDefault="00203691" w:rsidP="00203691">
      <w:pPr>
        <w:pStyle w:val="TableofFigures"/>
        <w:tabs>
          <w:tab w:val="left" w:pos="1195"/>
          <w:tab w:val="right" w:leader="dot" w:pos="9350"/>
        </w:tabs>
      </w:pPr>
      <w:r>
        <w:rPr>
          <w:color w:val="2B579A"/>
          <w:shd w:val="clear" w:color="auto" w:fill="E6E6E6"/>
        </w:rPr>
        <w:fldChar w:fldCharType="end"/>
      </w:r>
    </w:p>
    <w:p w14:paraId="3FE8D5DD" w14:textId="2D5E402F" w:rsidR="00203691" w:rsidRDefault="00203691" w:rsidP="00203691">
      <w:pPr>
        <w:pStyle w:val="FrontMatterHead"/>
      </w:pPr>
      <w:r>
        <w:t>Conversion Factors</w:t>
      </w:r>
      <w:bookmarkEnd w:id="15"/>
      <w:bookmarkEnd w:id="16"/>
    </w:p>
    <w:p w14:paraId="616C6E77" w14:textId="77777777" w:rsidR="00203691" w:rsidRDefault="00203691" w:rsidP="00203691">
      <w:pPr>
        <w:pStyle w:val="TableTitle"/>
      </w:pPr>
      <w:bookmarkStart w:id="17" w:name="_Toc507583978"/>
      <w:bookmarkStart w:id="18" w:name="_Toc507584032"/>
      <w:bookmarkStart w:id="19" w:name="_Toc20723230"/>
      <w:bookmarkStart w:id="20" w:name="_Toc228288460"/>
      <w:r>
        <w:t>International System of Units to U.S. customary units</w:t>
      </w:r>
      <w:bookmarkEnd w:id="17"/>
      <w:bookmarkEnd w:id="18"/>
      <w:bookmarkEnd w:id="19"/>
      <w:bookmarkEnd w:id="20"/>
    </w:p>
    <w:tbl>
      <w:tblPr>
        <w:tblW w:w="7675" w:type="dxa"/>
        <w:tblBorders>
          <w:top w:val="single" w:sz="4" w:space="0" w:color="auto"/>
          <w:bottom w:val="single" w:sz="4" w:space="0" w:color="auto"/>
          <w:insideH w:val="single" w:sz="4" w:space="0" w:color="auto"/>
        </w:tblBorders>
        <w:tblLayout w:type="fixed"/>
        <w:tblCellMar>
          <w:left w:w="115" w:type="dxa"/>
          <w:right w:w="115" w:type="dxa"/>
        </w:tblCellMar>
        <w:tblLook w:val="04A0" w:firstRow="1" w:lastRow="0" w:firstColumn="1" w:lastColumn="0" w:noHBand="0" w:noVBand="1"/>
      </w:tblPr>
      <w:tblGrid>
        <w:gridCol w:w="2558"/>
        <w:gridCol w:w="2558"/>
        <w:gridCol w:w="2559"/>
      </w:tblGrid>
      <w:tr w:rsidR="00203691" w:rsidRPr="00BA340B" w14:paraId="32FB987E" w14:textId="77777777" w:rsidTr="00F21FBA">
        <w:trPr>
          <w:cantSplit/>
          <w:tblHeader/>
        </w:trPr>
        <w:tc>
          <w:tcPr>
            <w:tcW w:w="2558" w:type="dxa"/>
            <w:tcBorders>
              <w:bottom w:val="single" w:sz="4" w:space="0" w:color="auto"/>
              <w:tl2br w:val="nil"/>
            </w:tcBorders>
            <w:vAlign w:val="center"/>
          </w:tcPr>
          <w:p w14:paraId="17D6C3F1" w14:textId="77777777" w:rsidR="00203691" w:rsidRPr="00BA340B" w:rsidRDefault="00203691" w:rsidP="00F21FBA">
            <w:pPr>
              <w:pStyle w:val="TableHead"/>
            </w:pPr>
            <w:r w:rsidRPr="00BA340B">
              <w:t>Multiply</w:t>
            </w:r>
          </w:p>
        </w:tc>
        <w:tc>
          <w:tcPr>
            <w:tcW w:w="2558" w:type="dxa"/>
            <w:tcBorders>
              <w:bottom w:val="single" w:sz="4" w:space="0" w:color="auto"/>
              <w:tl2br w:val="nil"/>
            </w:tcBorders>
            <w:vAlign w:val="center"/>
          </w:tcPr>
          <w:p w14:paraId="2527BFEE" w14:textId="77777777" w:rsidR="00203691" w:rsidRPr="00BA340B" w:rsidRDefault="00203691" w:rsidP="00F21FBA">
            <w:pPr>
              <w:pStyle w:val="TableHead"/>
              <w:tabs>
                <w:tab w:val="decimal" w:pos="495"/>
              </w:tabs>
            </w:pPr>
            <w:r w:rsidRPr="00BA340B">
              <w:t>By</w:t>
            </w:r>
          </w:p>
        </w:tc>
        <w:tc>
          <w:tcPr>
            <w:tcW w:w="2559" w:type="dxa"/>
            <w:tcBorders>
              <w:bottom w:val="single" w:sz="4" w:space="0" w:color="auto"/>
              <w:tl2br w:val="nil"/>
            </w:tcBorders>
            <w:vAlign w:val="center"/>
          </w:tcPr>
          <w:p w14:paraId="00FADCF7" w14:textId="77777777" w:rsidR="00203691" w:rsidRPr="00BA340B" w:rsidRDefault="00203691" w:rsidP="00F21FBA">
            <w:pPr>
              <w:pStyle w:val="TableHead"/>
            </w:pPr>
            <w:r w:rsidRPr="00BA340B">
              <w:t>To obtain</w:t>
            </w:r>
          </w:p>
        </w:tc>
      </w:tr>
      <w:tr w:rsidR="00203691" w:rsidRPr="00BA340B" w14:paraId="591BB79F" w14:textId="77777777" w:rsidTr="00F21FBA">
        <w:trPr>
          <w:cantSplit/>
        </w:trPr>
        <w:tc>
          <w:tcPr>
            <w:tcW w:w="7675" w:type="dxa"/>
            <w:gridSpan w:val="3"/>
            <w:tcBorders>
              <w:top w:val="single" w:sz="4" w:space="0" w:color="auto"/>
              <w:bottom w:val="single" w:sz="4" w:space="0" w:color="auto"/>
            </w:tcBorders>
            <w:vAlign w:val="center"/>
          </w:tcPr>
          <w:p w14:paraId="7915EC6B" w14:textId="77777777" w:rsidR="00203691" w:rsidRPr="002E2E3D" w:rsidRDefault="00203691" w:rsidP="00F21FBA">
            <w:pPr>
              <w:pStyle w:val="TableSpanner"/>
              <w:tabs>
                <w:tab w:val="decimal" w:pos="495"/>
              </w:tabs>
            </w:pPr>
            <w:r w:rsidRPr="002E2E3D">
              <w:t>Length</w:t>
            </w:r>
          </w:p>
        </w:tc>
      </w:tr>
      <w:tr w:rsidR="00203691" w:rsidRPr="00BA340B" w14:paraId="07C97321" w14:textId="77777777" w:rsidTr="00F21FBA">
        <w:trPr>
          <w:cantSplit/>
        </w:trPr>
        <w:tc>
          <w:tcPr>
            <w:tcW w:w="2558" w:type="dxa"/>
            <w:tcBorders>
              <w:top w:val="nil"/>
              <w:bottom w:val="nil"/>
            </w:tcBorders>
          </w:tcPr>
          <w:p w14:paraId="4651DD93" w14:textId="77777777" w:rsidR="00203691" w:rsidRPr="00BA340B" w:rsidRDefault="00203691" w:rsidP="00F21FBA">
            <w:pPr>
              <w:pStyle w:val="TableBody"/>
            </w:pPr>
            <w:proofErr w:type="gramStart"/>
            <w:r w:rsidRPr="00BA340B">
              <w:t>millimeter</w:t>
            </w:r>
            <w:proofErr w:type="gramEnd"/>
            <w:r w:rsidRPr="00BA340B">
              <w:t xml:space="preserve"> (mm)</w:t>
            </w:r>
          </w:p>
        </w:tc>
        <w:tc>
          <w:tcPr>
            <w:tcW w:w="2558" w:type="dxa"/>
            <w:tcBorders>
              <w:top w:val="nil"/>
              <w:bottom w:val="nil"/>
            </w:tcBorders>
          </w:tcPr>
          <w:p w14:paraId="4DAE1CD4" w14:textId="77777777" w:rsidR="00203691" w:rsidRPr="00BA340B" w:rsidRDefault="00203691" w:rsidP="00712B5C">
            <w:pPr>
              <w:pStyle w:val="TableBody"/>
            </w:pPr>
            <w:r w:rsidRPr="00BA340B">
              <w:t>0.03937</w:t>
            </w:r>
          </w:p>
        </w:tc>
        <w:tc>
          <w:tcPr>
            <w:tcW w:w="2559" w:type="dxa"/>
            <w:tcBorders>
              <w:top w:val="nil"/>
              <w:bottom w:val="nil"/>
            </w:tcBorders>
          </w:tcPr>
          <w:p w14:paraId="2B94D559" w14:textId="77777777" w:rsidR="00203691" w:rsidRPr="00BA340B" w:rsidRDefault="00203691" w:rsidP="00F21FBA">
            <w:pPr>
              <w:pStyle w:val="TableBody"/>
            </w:pPr>
            <w:r w:rsidRPr="00BA340B">
              <w:t>inch (in.)</w:t>
            </w:r>
          </w:p>
        </w:tc>
      </w:tr>
      <w:tr w:rsidR="00203691" w:rsidRPr="00BA340B" w14:paraId="0EDB2CA8" w14:textId="77777777" w:rsidTr="00F21FBA">
        <w:trPr>
          <w:cantSplit/>
        </w:trPr>
        <w:tc>
          <w:tcPr>
            <w:tcW w:w="2558" w:type="dxa"/>
            <w:tcBorders>
              <w:top w:val="nil"/>
              <w:bottom w:val="nil"/>
            </w:tcBorders>
          </w:tcPr>
          <w:p w14:paraId="56526A84" w14:textId="77777777" w:rsidR="00203691" w:rsidRPr="00BA340B" w:rsidRDefault="00203691" w:rsidP="00F21FBA">
            <w:pPr>
              <w:pStyle w:val="TableBody"/>
            </w:pPr>
            <w:r w:rsidRPr="00BA340B">
              <w:t>meter (m)</w:t>
            </w:r>
          </w:p>
        </w:tc>
        <w:tc>
          <w:tcPr>
            <w:tcW w:w="2558" w:type="dxa"/>
            <w:tcBorders>
              <w:top w:val="nil"/>
              <w:bottom w:val="nil"/>
            </w:tcBorders>
          </w:tcPr>
          <w:p w14:paraId="32CD2644" w14:textId="77777777" w:rsidR="00203691" w:rsidRPr="00BA340B" w:rsidRDefault="00203691" w:rsidP="00712B5C">
            <w:pPr>
              <w:pStyle w:val="TableBody"/>
            </w:pPr>
            <w:r w:rsidRPr="00BA340B">
              <w:t>3.281</w:t>
            </w:r>
          </w:p>
        </w:tc>
        <w:tc>
          <w:tcPr>
            <w:tcW w:w="2559" w:type="dxa"/>
            <w:tcBorders>
              <w:top w:val="nil"/>
              <w:bottom w:val="nil"/>
            </w:tcBorders>
          </w:tcPr>
          <w:p w14:paraId="0341D027" w14:textId="77777777" w:rsidR="00203691" w:rsidRPr="00BA340B" w:rsidRDefault="00203691" w:rsidP="00F21FBA">
            <w:pPr>
              <w:pStyle w:val="TableBody"/>
            </w:pPr>
            <w:r w:rsidRPr="00BA340B">
              <w:t xml:space="preserve">foot (ft) </w:t>
            </w:r>
          </w:p>
        </w:tc>
      </w:tr>
      <w:tr w:rsidR="00203691" w:rsidRPr="00BA340B" w14:paraId="4785389A" w14:textId="77777777" w:rsidTr="00F21FBA">
        <w:trPr>
          <w:cantSplit/>
        </w:trPr>
        <w:tc>
          <w:tcPr>
            <w:tcW w:w="2558" w:type="dxa"/>
            <w:tcBorders>
              <w:top w:val="nil"/>
              <w:bottom w:val="nil"/>
            </w:tcBorders>
          </w:tcPr>
          <w:p w14:paraId="094CDD43" w14:textId="77777777" w:rsidR="00203691" w:rsidRPr="00BA340B" w:rsidRDefault="00203691" w:rsidP="00F21FBA">
            <w:pPr>
              <w:pStyle w:val="TableBody"/>
            </w:pPr>
            <w:r w:rsidRPr="00BA340B">
              <w:t>kilometer (km)</w:t>
            </w:r>
          </w:p>
        </w:tc>
        <w:tc>
          <w:tcPr>
            <w:tcW w:w="2558" w:type="dxa"/>
            <w:tcBorders>
              <w:top w:val="nil"/>
              <w:bottom w:val="nil"/>
            </w:tcBorders>
          </w:tcPr>
          <w:p w14:paraId="64D10E9B" w14:textId="77777777" w:rsidR="00203691" w:rsidRPr="00BA340B" w:rsidRDefault="00203691" w:rsidP="00712B5C">
            <w:pPr>
              <w:pStyle w:val="TableBody"/>
            </w:pPr>
            <w:r w:rsidRPr="00BA340B">
              <w:t>0.6214</w:t>
            </w:r>
          </w:p>
        </w:tc>
        <w:tc>
          <w:tcPr>
            <w:tcW w:w="2559" w:type="dxa"/>
            <w:tcBorders>
              <w:top w:val="nil"/>
              <w:bottom w:val="nil"/>
            </w:tcBorders>
          </w:tcPr>
          <w:p w14:paraId="432A4426" w14:textId="77777777" w:rsidR="00203691" w:rsidRPr="00BA340B" w:rsidRDefault="00203691" w:rsidP="00F21FBA">
            <w:pPr>
              <w:pStyle w:val="TableBody"/>
            </w:pPr>
            <w:r w:rsidRPr="00BA340B">
              <w:t>mile (mi)</w:t>
            </w:r>
          </w:p>
        </w:tc>
      </w:tr>
      <w:tr w:rsidR="00203691" w:rsidRPr="00BA340B" w14:paraId="6BE09E2F" w14:textId="77777777" w:rsidTr="00F21FBA">
        <w:trPr>
          <w:cantSplit/>
        </w:trPr>
        <w:tc>
          <w:tcPr>
            <w:tcW w:w="7675" w:type="dxa"/>
            <w:gridSpan w:val="3"/>
            <w:tcBorders>
              <w:bottom w:val="single" w:sz="4" w:space="0" w:color="auto"/>
            </w:tcBorders>
            <w:vAlign w:val="center"/>
          </w:tcPr>
          <w:p w14:paraId="44257404" w14:textId="77777777" w:rsidR="00203691" w:rsidRPr="002E2E3D" w:rsidRDefault="00203691" w:rsidP="00F21FBA">
            <w:pPr>
              <w:pStyle w:val="TableSpanner"/>
              <w:tabs>
                <w:tab w:val="decimal" w:pos="495"/>
              </w:tabs>
            </w:pPr>
            <w:r w:rsidRPr="002E2E3D">
              <w:t>Area</w:t>
            </w:r>
          </w:p>
        </w:tc>
      </w:tr>
      <w:tr w:rsidR="00203691" w:rsidRPr="00BA340B" w14:paraId="64C939A8" w14:textId="77777777" w:rsidTr="00F21FBA">
        <w:trPr>
          <w:cantSplit/>
        </w:trPr>
        <w:tc>
          <w:tcPr>
            <w:tcW w:w="2558" w:type="dxa"/>
            <w:tcBorders>
              <w:bottom w:val="nil"/>
            </w:tcBorders>
          </w:tcPr>
          <w:p w14:paraId="23215E06" w14:textId="77777777" w:rsidR="00203691" w:rsidRPr="00BA340B" w:rsidRDefault="00203691" w:rsidP="00F21FBA">
            <w:pPr>
              <w:pStyle w:val="TableBody"/>
            </w:pPr>
            <w:r w:rsidRPr="00BA340B">
              <w:t xml:space="preserve">square </w:t>
            </w:r>
            <w:proofErr w:type="gramStart"/>
            <w:r w:rsidRPr="00BA340B">
              <w:t>meter</w:t>
            </w:r>
            <w:proofErr w:type="gramEnd"/>
            <w:r w:rsidRPr="00BA340B">
              <w:t xml:space="preserve"> (m</w:t>
            </w:r>
            <w:r w:rsidRPr="0003326A">
              <w:rPr>
                <w:vertAlign w:val="superscript"/>
              </w:rPr>
              <w:t>2</w:t>
            </w:r>
            <w:r w:rsidRPr="00BA340B">
              <w:t>)</w:t>
            </w:r>
          </w:p>
        </w:tc>
        <w:tc>
          <w:tcPr>
            <w:tcW w:w="2558" w:type="dxa"/>
            <w:tcBorders>
              <w:bottom w:val="nil"/>
            </w:tcBorders>
          </w:tcPr>
          <w:p w14:paraId="5220C3DA" w14:textId="77777777" w:rsidR="00203691" w:rsidRPr="00BA340B" w:rsidRDefault="00203691" w:rsidP="00712B5C">
            <w:pPr>
              <w:pStyle w:val="TableBody"/>
            </w:pPr>
            <w:r w:rsidRPr="00BA340B">
              <w:t>0.0002471</w:t>
            </w:r>
          </w:p>
        </w:tc>
        <w:tc>
          <w:tcPr>
            <w:tcW w:w="2559" w:type="dxa"/>
            <w:tcBorders>
              <w:bottom w:val="nil"/>
            </w:tcBorders>
          </w:tcPr>
          <w:p w14:paraId="4E065A76" w14:textId="77777777" w:rsidR="00203691" w:rsidRPr="00BA340B" w:rsidRDefault="00203691" w:rsidP="00F21FBA">
            <w:pPr>
              <w:pStyle w:val="TableBody"/>
            </w:pPr>
            <w:r w:rsidRPr="00BA340B">
              <w:t xml:space="preserve">acre </w:t>
            </w:r>
          </w:p>
        </w:tc>
      </w:tr>
      <w:tr w:rsidR="00203691" w:rsidRPr="00BA340B" w14:paraId="2B90484E" w14:textId="77777777" w:rsidTr="00F21FBA">
        <w:trPr>
          <w:cantSplit/>
        </w:trPr>
        <w:tc>
          <w:tcPr>
            <w:tcW w:w="2558" w:type="dxa"/>
            <w:tcBorders>
              <w:top w:val="nil"/>
              <w:bottom w:val="nil"/>
            </w:tcBorders>
          </w:tcPr>
          <w:p w14:paraId="16B5C53D" w14:textId="77777777" w:rsidR="00203691" w:rsidRPr="00BA340B" w:rsidRDefault="00203691" w:rsidP="00F21FBA">
            <w:pPr>
              <w:pStyle w:val="TableBody"/>
            </w:pPr>
            <w:r w:rsidRPr="00BA340B">
              <w:t>hectare (ha)</w:t>
            </w:r>
          </w:p>
        </w:tc>
        <w:tc>
          <w:tcPr>
            <w:tcW w:w="2558" w:type="dxa"/>
            <w:tcBorders>
              <w:top w:val="nil"/>
              <w:bottom w:val="nil"/>
            </w:tcBorders>
          </w:tcPr>
          <w:p w14:paraId="565C7B84" w14:textId="77777777" w:rsidR="00203691" w:rsidRPr="00BA340B" w:rsidRDefault="00203691" w:rsidP="00712B5C">
            <w:pPr>
              <w:pStyle w:val="TableBody"/>
            </w:pPr>
            <w:r w:rsidRPr="00BA340B">
              <w:t>2.471</w:t>
            </w:r>
          </w:p>
        </w:tc>
        <w:tc>
          <w:tcPr>
            <w:tcW w:w="2559" w:type="dxa"/>
            <w:tcBorders>
              <w:top w:val="nil"/>
              <w:bottom w:val="nil"/>
            </w:tcBorders>
          </w:tcPr>
          <w:p w14:paraId="34FB664C" w14:textId="77777777" w:rsidR="00203691" w:rsidRPr="00BA340B" w:rsidRDefault="00203691" w:rsidP="00F21FBA">
            <w:pPr>
              <w:pStyle w:val="TableBody"/>
            </w:pPr>
            <w:r w:rsidRPr="00BA340B">
              <w:t>acre</w:t>
            </w:r>
          </w:p>
        </w:tc>
      </w:tr>
      <w:tr w:rsidR="00203691" w:rsidRPr="00BA340B" w14:paraId="18F9D717" w14:textId="77777777" w:rsidTr="00F21FBA">
        <w:trPr>
          <w:cantSplit/>
        </w:trPr>
        <w:tc>
          <w:tcPr>
            <w:tcW w:w="2558" w:type="dxa"/>
            <w:tcBorders>
              <w:top w:val="nil"/>
              <w:bottom w:val="nil"/>
            </w:tcBorders>
          </w:tcPr>
          <w:p w14:paraId="593291E1" w14:textId="77777777" w:rsidR="00203691" w:rsidRPr="00BA340B" w:rsidRDefault="00203691" w:rsidP="00F21FBA">
            <w:pPr>
              <w:pStyle w:val="TableBody"/>
            </w:pPr>
            <w:r w:rsidRPr="00BA340B">
              <w:t>square hectometer (hm</w:t>
            </w:r>
            <w:r w:rsidRPr="0003326A">
              <w:rPr>
                <w:vertAlign w:val="superscript"/>
              </w:rPr>
              <w:t>2</w:t>
            </w:r>
            <w:r w:rsidRPr="00BA340B">
              <w:t>)</w:t>
            </w:r>
          </w:p>
        </w:tc>
        <w:tc>
          <w:tcPr>
            <w:tcW w:w="2558" w:type="dxa"/>
            <w:tcBorders>
              <w:top w:val="nil"/>
              <w:bottom w:val="nil"/>
            </w:tcBorders>
          </w:tcPr>
          <w:p w14:paraId="041351C3" w14:textId="77777777" w:rsidR="00203691" w:rsidRPr="00BA340B" w:rsidRDefault="00203691" w:rsidP="00712B5C">
            <w:pPr>
              <w:pStyle w:val="TableBody"/>
            </w:pPr>
            <w:r w:rsidRPr="00BA340B">
              <w:t>2.471</w:t>
            </w:r>
          </w:p>
        </w:tc>
        <w:tc>
          <w:tcPr>
            <w:tcW w:w="2559" w:type="dxa"/>
            <w:tcBorders>
              <w:top w:val="nil"/>
              <w:bottom w:val="nil"/>
            </w:tcBorders>
          </w:tcPr>
          <w:p w14:paraId="74346454" w14:textId="77777777" w:rsidR="00203691" w:rsidRPr="00BA340B" w:rsidRDefault="00203691" w:rsidP="00F21FBA">
            <w:pPr>
              <w:pStyle w:val="TableBody"/>
            </w:pPr>
            <w:r w:rsidRPr="00BA340B">
              <w:t>acre</w:t>
            </w:r>
          </w:p>
        </w:tc>
      </w:tr>
      <w:tr w:rsidR="00203691" w:rsidRPr="00BA340B" w14:paraId="3F7CDC71" w14:textId="77777777" w:rsidTr="00F21FBA">
        <w:trPr>
          <w:cantSplit/>
        </w:trPr>
        <w:tc>
          <w:tcPr>
            <w:tcW w:w="2558" w:type="dxa"/>
            <w:tcBorders>
              <w:top w:val="nil"/>
              <w:bottom w:val="nil"/>
            </w:tcBorders>
          </w:tcPr>
          <w:p w14:paraId="43BD4879" w14:textId="77777777" w:rsidR="00203691" w:rsidRPr="00BA340B" w:rsidRDefault="00203691" w:rsidP="00F21FBA">
            <w:pPr>
              <w:pStyle w:val="TableBody"/>
            </w:pPr>
            <w:r w:rsidRPr="00BA340B">
              <w:t>square kilometer (km</w:t>
            </w:r>
            <w:r w:rsidRPr="0003326A">
              <w:rPr>
                <w:vertAlign w:val="superscript"/>
              </w:rPr>
              <w:t>2</w:t>
            </w:r>
            <w:r w:rsidRPr="00BA340B">
              <w:t>)</w:t>
            </w:r>
          </w:p>
        </w:tc>
        <w:tc>
          <w:tcPr>
            <w:tcW w:w="2558" w:type="dxa"/>
            <w:tcBorders>
              <w:top w:val="nil"/>
              <w:bottom w:val="nil"/>
            </w:tcBorders>
          </w:tcPr>
          <w:p w14:paraId="4F922FDC" w14:textId="77777777" w:rsidR="00203691" w:rsidRPr="00BA340B" w:rsidRDefault="00203691" w:rsidP="00712B5C">
            <w:pPr>
              <w:pStyle w:val="TableBody"/>
            </w:pPr>
            <w:r w:rsidRPr="00BA340B">
              <w:t>247.1</w:t>
            </w:r>
          </w:p>
        </w:tc>
        <w:tc>
          <w:tcPr>
            <w:tcW w:w="2559" w:type="dxa"/>
            <w:tcBorders>
              <w:top w:val="nil"/>
              <w:bottom w:val="nil"/>
            </w:tcBorders>
          </w:tcPr>
          <w:p w14:paraId="3642E5F6" w14:textId="77777777" w:rsidR="00203691" w:rsidRPr="00BA340B" w:rsidRDefault="00203691" w:rsidP="00F21FBA">
            <w:pPr>
              <w:pStyle w:val="TableBody"/>
            </w:pPr>
            <w:r w:rsidRPr="00BA340B">
              <w:t>acre</w:t>
            </w:r>
          </w:p>
        </w:tc>
      </w:tr>
      <w:tr w:rsidR="00203691" w:rsidRPr="00BA340B" w14:paraId="3F372009" w14:textId="77777777" w:rsidTr="00F21FBA">
        <w:trPr>
          <w:cantSplit/>
        </w:trPr>
        <w:tc>
          <w:tcPr>
            <w:tcW w:w="2558" w:type="dxa"/>
            <w:tcBorders>
              <w:top w:val="nil"/>
              <w:bottom w:val="nil"/>
            </w:tcBorders>
          </w:tcPr>
          <w:p w14:paraId="3421BF3B" w14:textId="77777777" w:rsidR="00203691" w:rsidRPr="00BA340B" w:rsidRDefault="00203691" w:rsidP="00F21FBA">
            <w:pPr>
              <w:pStyle w:val="TableBody"/>
            </w:pPr>
            <w:r w:rsidRPr="00BA340B">
              <w:t>square centimeter (cm</w:t>
            </w:r>
            <w:r w:rsidRPr="0003326A">
              <w:rPr>
                <w:vertAlign w:val="superscript"/>
              </w:rPr>
              <w:t>2</w:t>
            </w:r>
            <w:r w:rsidRPr="00BA340B">
              <w:t>)</w:t>
            </w:r>
          </w:p>
        </w:tc>
        <w:tc>
          <w:tcPr>
            <w:tcW w:w="2558" w:type="dxa"/>
            <w:tcBorders>
              <w:top w:val="nil"/>
              <w:bottom w:val="nil"/>
            </w:tcBorders>
          </w:tcPr>
          <w:p w14:paraId="0DB20EA8" w14:textId="77777777" w:rsidR="00203691" w:rsidRPr="00BA340B" w:rsidRDefault="00203691" w:rsidP="00712B5C">
            <w:pPr>
              <w:pStyle w:val="TableBody"/>
            </w:pPr>
            <w:r w:rsidRPr="00BA340B">
              <w:t>0.001076</w:t>
            </w:r>
          </w:p>
        </w:tc>
        <w:tc>
          <w:tcPr>
            <w:tcW w:w="2559" w:type="dxa"/>
            <w:tcBorders>
              <w:top w:val="nil"/>
              <w:bottom w:val="nil"/>
            </w:tcBorders>
          </w:tcPr>
          <w:p w14:paraId="02E8FCCE" w14:textId="77777777" w:rsidR="00203691" w:rsidRPr="00BA340B" w:rsidRDefault="00203691" w:rsidP="00F21FBA">
            <w:pPr>
              <w:pStyle w:val="TableBody"/>
            </w:pPr>
            <w:r w:rsidRPr="00BA340B">
              <w:t>square foot (ft</w:t>
            </w:r>
            <w:r w:rsidRPr="0003326A">
              <w:rPr>
                <w:vertAlign w:val="superscript"/>
              </w:rPr>
              <w:t>2</w:t>
            </w:r>
            <w:r w:rsidRPr="00BA340B">
              <w:t>)</w:t>
            </w:r>
          </w:p>
        </w:tc>
      </w:tr>
      <w:tr w:rsidR="00203691" w:rsidRPr="00BA340B" w14:paraId="326A93EF" w14:textId="77777777" w:rsidTr="00F21FBA">
        <w:trPr>
          <w:cantSplit/>
        </w:trPr>
        <w:tc>
          <w:tcPr>
            <w:tcW w:w="2558" w:type="dxa"/>
            <w:tcBorders>
              <w:top w:val="nil"/>
              <w:bottom w:val="nil"/>
            </w:tcBorders>
          </w:tcPr>
          <w:p w14:paraId="40D4D1C3" w14:textId="77777777" w:rsidR="00203691" w:rsidRPr="00BA340B" w:rsidRDefault="00203691" w:rsidP="00F21FBA">
            <w:pPr>
              <w:pStyle w:val="TableBody"/>
            </w:pPr>
            <w:r w:rsidRPr="00BA340B">
              <w:t xml:space="preserve">square </w:t>
            </w:r>
            <w:proofErr w:type="gramStart"/>
            <w:r w:rsidRPr="00BA340B">
              <w:t>meter</w:t>
            </w:r>
            <w:proofErr w:type="gramEnd"/>
            <w:r w:rsidRPr="00BA340B">
              <w:t xml:space="preserve"> (m</w:t>
            </w:r>
            <w:r w:rsidRPr="0003326A">
              <w:rPr>
                <w:vertAlign w:val="superscript"/>
              </w:rPr>
              <w:t>2</w:t>
            </w:r>
            <w:r w:rsidRPr="00BA340B">
              <w:t>)</w:t>
            </w:r>
          </w:p>
        </w:tc>
        <w:tc>
          <w:tcPr>
            <w:tcW w:w="2558" w:type="dxa"/>
            <w:tcBorders>
              <w:top w:val="nil"/>
              <w:bottom w:val="nil"/>
            </w:tcBorders>
          </w:tcPr>
          <w:p w14:paraId="3F80042D" w14:textId="77777777" w:rsidR="00203691" w:rsidRPr="00BA340B" w:rsidRDefault="00203691" w:rsidP="00712B5C">
            <w:pPr>
              <w:pStyle w:val="TableBody"/>
            </w:pPr>
            <w:r w:rsidRPr="00BA340B">
              <w:t>10.76</w:t>
            </w:r>
          </w:p>
        </w:tc>
        <w:tc>
          <w:tcPr>
            <w:tcW w:w="2559" w:type="dxa"/>
            <w:tcBorders>
              <w:top w:val="nil"/>
              <w:bottom w:val="nil"/>
            </w:tcBorders>
          </w:tcPr>
          <w:p w14:paraId="2D2D0020" w14:textId="77777777" w:rsidR="00203691" w:rsidRPr="00BA340B" w:rsidRDefault="00203691" w:rsidP="00F21FBA">
            <w:pPr>
              <w:pStyle w:val="TableBody"/>
            </w:pPr>
            <w:r w:rsidRPr="00BA340B">
              <w:t>square foot (ft</w:t>
            </w:r>
            <w:r w:rsidRPr="0003326A">
              <w:rPr>
                <w:vertAlign w:val="superscript"/>
              </w:rPr>
              <w:t>2</w:t>
            </w:r>
            <w:r w:rsidRPr="00BA340B">
              <w:t xml:space="preserve">) </w:t>
            </w:r>
          </w:p>
        </w:tc>
      </w:tr>
      <w:tr w:rsidR="00203691" w:rsidRPr="00BA340B" w14:paraId="35536982" w14:textId="77777777" w:rsidTr="00F21FBA">
        <w:trPr>
          <w:cantSplit/>
        </w:trPr>
        <w:tc>
          <w:tcPr>
            <w:tcW w:w="2558" w:type="dxa"/>
            <w:tcBorders>
              <w:top w:val="nil"/>
              <w:bottom w:val="nil"/>
            </w:tcBorders>
          </w:tcPr>
          <w:p w14:paraId="3DB9F62A" w14:textId="77777777" w:rsidR="00203691" w:rsidRPr="00BA340B" w:rsidRDefault="00203691" w:rsidP="00F21FBA">
            <w:pPr>
              <w:pStyle w:val="TableBody"/>
            </w:pPr>
            <w:r w:rsidRPr="00BA340B">
              <w:t>square centimeter (cm</w:t>
            </w:r>
            <w:r w:rsidRPr="0003326A">
              <w:rPr>
                <w:vertAlign w:val="superscript"/>
              </w:rPr>
              <w:t>2</w:t>
            </w:r>
            <w:r w:rsidRPr="00BA340B">
              <w:t>)</w:t>
            </w:r>
          </w:p>
        </w:tc>
        <w:tc>
          <w:tcPr>
            <w:tcW w:w="2558" w:type="dxa"/>
            <w:tcBorders>
              <w:top w:val="nil"/>
              <w:bottom w:val="nil"/>
            </w:tcBorders>
          </w:tcPr>
          <w:p w14:paraId="222587E5" w14:textId="77777777" w:rsidR="00203691" w:rsidRPr="00BA340B" w:rsidRDefault="00203691" w:rsidP="00712B5C">
            <w:pPr>
              <w:pStyle w:val="TableBody"/>
            </w:pPr>
            <w:r w:rsidRPr="00BA340B">
              <w:t>0.1550</w:t>
            </w:r>
          </w:p>
        </w:tc>
        <w:tc>
          <w:tcPr>
            <w:tcW w:w="2559" w:type="dxa"/>
            <w:tcBorders>
              <w:top w:val="nil"/>
              <w:bottom w:val="nil"/>
            </w:tcBorders>
          </w:tcPr>
          <w:p w14:paraId="14DB1F7B" w14:textId="77777777" w:rsidR="00203691" w:rsidRPr="00BA340B" w:rsidRDefault="00203691" w:rsidP="00F21FBA">
            <w:pPr>
              <w:pStyle w:val="TableBody"/>
            </w:pPr>
            <w:r w:rsidRPr="00BA340B">
              <w:t>square inch (</w:t>
            </w:r>
            <w:r>
              <w:t>in</w:t>
            </w:r>
            <w:r w:rsidRPr="0003326A">
              <w:rPr>
                <w:vertAlign w:val="superscript"/>
              </w:rPr>
              <w:t>2</w:t>
            </w:r>
            <w:r w:rsidRPr="00BA340B">
              <w:t xml:space="preserve">) </w:t>
            </w:r>
          </w:p>
        </w:tc>
      </w:tr>
      <w:tr w:rsidR="00203691" w:rsidRPr="00BA340B" w14:paraId="492E2F92" w14:textId="77777777" w:rsidTr="00F21FBA">
        <w:trPr>
          <w:cantSplit/>
        </w:trPr>
        <w:tc>
          <w:tcPr>
            <w:tcW w:w="2558" w:type="dxa"/>
            <w:tcBorders>
              <w:top w:val="nil"/>
              <w:bottom w:val="nil"/>
            </w:tcBorders>
          </w:tcPr>
          <w:p w14:paraId="5C036010" w14:textId="77777777" w:rsidR="00203691" w:rsidRPr="00BA340B" w:rsidRDefault="00203691" w:rsidP="00F21FBA">
            <w:pPr>
              <w:pStyle w:val="TableBody"/>
            </w:pPr>
            <w:r w:rsidRPr="00BA340B">
              <w:t>square hectometer (hm</w:t>
            </w:r>
            <w:r w:rsidRPr="0003326A">
              <w:rPr>
                <w:vertAlign w:val="superscript"/>
              </w:rPr>
              <w:t>2</w:t>
            </w:r>
            <w:r w:rsidRPr="00BA340B">
              <w:t>)</w:t>
            </w:r>
          </w:p>
        </w:tc>
        <w:tc>
          <w:tcPr>
            <w:tcW w:w="2558" w:type="dxa"/>
            <w:tcBorders>
              <w:top w:val="nil"/>
              <w:bottom w:val="nil"/>
            </w:tcBorders>
          </w:tcPr>
          <w:p w14:paraId="08893CBA" w14:textId="77777777" w:rsidR="00203691" w:rsidRPr="00BA340B" w:rsidRDefault="00203691" w:rsidP="00712B5C">
            <w:pPr>
              <w:pStyle w:val="TableBody"/>
            </w:pPr>
            <w:r w:rsidRPr="00BA340B">
              <w:t>0.003861</w:t>
            </w:r>
          </w:p>
        </w:tc>
        <w:tc>
          <w:tcPr>
            <w:tcW w:w="2559" w:type="dxa"/>
            <w:tcBorders>
              <w:top w:val="nil"/>
              <w:bottom w:val="nil"/>
            </w:tcBorders>
          </w:tcPr>
          <w:p w14:paraId="13EB692A" w14:textId="77777777" w:rsidR="00203691" w:rsidRPr="00BA340B" w:rsidRDefault="00203691" w:rsidP="00F21FBA">
            <w:pPr>
              <w:pStyle w:val="TableBody"/>
            </w:pPr>
            <w:r w:rsidRPr="00BA340B">
              <w:t>section (640 acres or 1 square mile)</w:t>
            </w:r>
          </w:p>
        </w:tc>
      </w:tr>
      <w:tr w:rsidR="00203691" w:rsidRPr="00BA340B" w14:paraId="7C250B7B" w14:textId="77777777" w:rsidTr="00F21FBA">
        <w:trPr>
          <w:cantSplit/>
        </w:trPr>
        <w:tc>
          <w:tcPr>
            <w:tcW w:w="2558" w:type="dxa"/>
            <w:tcBorders>
              <w:top w:val="nil"/>
              <w:bottom w:val="nil"/>
            </w:tcBorders>
          </w:tcPr>
          <w:p w14:paraId="0BE3E08A" w14:textId="77777777" w:rsidR="00203691" w:rsidRPr="00BA340B" w:rsidRDefault="00203691" w:rsidP="00F21FBA">
            <w:pPr>
              <w:pStyle w:val="TableBody"/>
            </w:pPr>
            <w:r w:rsidRPr="00BA340B">
              <w:t>hectare (ha)</w:t>
            </w:r>
          </w:p>
        </w:tc>
        <w:tc>
          <w:tcPr>
            <w:tcW w:w="2558" w:type="dxa"/>
            <w:tcBorders>
              <w:top w:val="nil"/>
              <w:bottom w:val="nil"/>
            </w:tcBorders>
          </w:tcPr>
          <w:p w14:paraId="4029C235" w14:textId="77777777" w:rsidR="00203691" w:rsidRPr="00BA340B" w:rsidRDefault="00203691" w:rsidP="00712B5C">
            <w:pPr>
              <w:pStyle w:val="TableBody"/>
            </w:pPr>
            <w:r w:rsidRPr="00BA340B">
              <w:t>0.003861</w:t>
            </w:r>
          </w:p>
        </w:tc>
        <w:tc>
          <w:tcPr>
            <w:tcW w:w="2559" w:type="dxa"/>
            <w:tcBorders>
              <w:top w:val="nil"/>
              <w:bottom w:val="nil"/>
            </w:tcBorders>
          </w:tcPr>
          <w:p w14:paraId="1D0C4E50" w14:textId="77777777" w:rsidR="00203691" w:rsidRPr="00BA340B" w:rsidRDefault="00203691" w:rsidP="00F21FBA">
            <w:pPr>
              <w:pStyle w:val="TableBody"/>
            </w:pPr>
            <w:r w:rsidRPr="00BA340B">
              <w:t>square mile (mi</w:t>
            </w:r>
            <w:r w:rsidRPr="0003326A">
              <w:rPr>
                <w:vertAlign w:val="superscript"/>
              </w:rPr>
              <w:t>2</w:t>
            </w:r>
            <w:r w:rsidRPr="00BA340B">
              <w:t xml:space="preserve">) </w:t>
            </w:r>
          </w:p>
        </w:tc>
      </w:tr>
      <w:tr w:rsidR="00203691" w:rsidRPr="00BA340B" w14:paraId="1BE7B1B8" w14:textId="77777777" w:rsidTr="00F21FBA">
        <w:trPr>
          <w:cantSplit/>
        </w:trPr>
        <w:tc>
          <w:tcPr>
            <w:tcW w:w="2558" w:type="dxa"/>
            <w:tcBorders>
              <w:top w:val="nil"/>
            </w:tcBorders>
          </w:tcPr>
          <w:p w14:paraId="34366545" w14:textId="77777777" w:rsidR="00203691" w:rsidRPr="00BA340B" w:rsidRDefault="00203691" w:rsidP="00F21FBA">
            <w:pPr>
              <w:pStyle w:val="TableBody"/>
            </w:pPr>
            <w:r w:rsidRPr="00BA340B">
              <w:t>square kilometer (km</w:t>
            </w:r>
            <w:r w:rsidRPr="0003326A">
              <w:rPr>
                <w:vertAlign w:val="superscript"/>
              </w:rPr>
              <w:t>2</w:t>
            </w:r>
            <w:r w:rsidRPr="00BA340B">
              <w:t>)</w:t>
            </w:r>
          </w:p>
        </w:tc>
        <w:tc>
          <w:tcPr>
            <w:tcW w:w="2558" w:type="dxa"/>
            <w:tcBorders>
              <w:top w:val="nil"/>
            </w:tcBorders>
          </w:tcPr>
          <w:p w14:paraId="25D7DE03" w14:textId="77777777" w:rsidR="00203691" w:rsidRPr="00BA340B" w:rsidRDefault="00203691" w:rsidP="00712B5C">
            <w:pPr>
              <w:pStyle w:val="TableBody"/>
            </w:pPr>
            <w:r w:rsidRPr="00BA340B">
              <w:t>0.3861</w:t>
            </w:r>
          </w:p>
        </w:tc>
        <w:tc>
          <w:tcPr>
            <w:tcW w:w="2559" w:type="dxa"/>
            <w:tcBorders>
              <w:top w:val="nil"/>
            </w:tcBorders>
          </w:tcPr>
          <w:p w14:paraId="656CD9AD" w14:textId="77777777" w:rsidR="00203691" w:rsidRPr="00BA340B" w:rsidRDefault="00203691" w:rsidP="00F21FBA">
            <w:pPr>
              <w:pStyle w:val="TableBody"/>
            </w:pPr>
            <w:r w:rsidRPr="00BA340B">
              <w:t>square mile (mi</w:t>
            </w:r>
            <w:r w:rsidRPr="0003326A">
              <w:rPr>
                <w:vertAlign w:val="superscript"/>
              </w:rPr>
              <w:t>2</w:t>
            </w:r>
            <w:r w:rsidRPr="00BA340B">
              <w:t>)</w:t>
            </w:r>
          </w:p>
        </w:tc>
      </w:tr>
      <w:tr w:rsidR="00203691" w:rsidRPr="00BA340B" w14:paraId="64AE480B" w14:textId="77777777" w:rsidTr="00F21FBA">
        <w:trPr>
          <w:cantSplit/>
        </w:trPr>
        <w:tc>
          <w:tcPr>
            <w:tcW w:w="2558" w:type="dxa"/>
            <w:tcBorders>
              <w:top w:val="nil"/>
              <w:bottom w:val="nil"/>
            </w:tcBorders>
          </w:tcPr>
          <w:p w14:paraId="7FC4CDD3" w14:textId="77B12ACB" w:rsidR="00203691" w:rsidRPr="00BA340B" w:rsidRDefault="00203691" w:rsidP="00F21FBA">
            <w:pPr>
              <w:pStyle w:val="TableBody"/>
            </w:pPr>
          </w:p>
        </w:tc>
        <w:tc>
          <w:tcPr>
            <w:tcW w:w="2558" w:type="dxa"/>
            <w:tcBorders>
              <w:top w:val="nil"/>
              <w:bottom w:val="nil"/>
            </w:tcBorders>
          </w:tcPr>
          <w:p w14:paraId="3C190FFD" w14:textId="260A6428" w:rsidR="00203691" w:rsidRPr="00BA340B" w:rsidRDefault="00203691" w:rsidP="00712B5C">
            <w:pPr>
              <w:pStyle w:val="TableBody"/>
            </w:pPr>
          </w:p>
        </w:tc>
        <w:tc>
          <w:tcPr>
            <w:tcW w:w="2559" w:type="dxa"/>
            <w:tcBorders>
              <w:top w:val="nil"/>
              <w:bottom w:val="nil"/>
            </w:tcBorders>
          </w:tcPr>
          <w:p w14:paraId="28872BF6" w14:textId="4FA91EAB" w:rsidR="00203691" w:rsidRPr="00BA340B" w:rsidRDefault="00203691" w:rsidP="00F21FBA">
            <w:pPr>
              <w:pStyle w:val="TableBody"/>
            </w:pPr>
          </w:p>
        </w:tc>
      </w:tr>
    </w:tbl>
    <w:p w14:paraId="7825985C" w14:textId="77777777" w:rsidR="00906694" w:rsidRDefault="00906694" w:rsidP="00203691">
      <w:pPr>
        <w:pStyle w:val="FrontMatterHead"/>
      </w:pPr>
      <w:bookmarkStart w:id="21" w:name="_Toc507583979"/>
      <w:bookmarkStart w:id="22" w:name="_Toc507584033"/>
    </w:p>
    <w:p w14:paraId="0181ACE4" w14:textId="13D11F85" w:rsidR="00203691" w:rsidRDefault="00203691" w:rsidP="00203691">
      <w:pPr>
        <w:pStyle w:val="DefListTitleFront"/>
      </w:pPr>
      <w:bookmarkStart w:id="23" w:name="_Toc507583981"/>
      <w:bookmarkStart w:id="24" w:name="_Toc507584035"/>
      <w:bookmarkStart w:id="25" w:name="_Toc531073706"/>
      <w:bookmarkEnd w:id="21"/>
      <w:bookmarkEnd w:id="22"/>
      <w:r>
        <w:t>Abbreviations</w:t>
      </w:r>
      <w:bookmarkEnd w:id="23"/>
      <w:bookmarkEnd w:id="24"/>
      <w:bookmarkEnd w:id="25"/>
    </w:p>
    <w:p w14:paraId="66D26817" w14:textId="2767E5A1" w:rsidR="00203691" w:rsidRDefault="006A110F" w:rsidP="00203691">
      <w:pPr>
        <w:pStyle w:val="DefListItem"/>
      </w:pPr>
      <w:r>
        <w:t>ADB</w:t>
      </w:r>
      <w:r w:rsidR="00203691">
        <w:tab/>
      </w:r>
      <w:r>
        <w:t>Asian Development Bank</w:t>
      </w:r>
    </w:p>
    <w:p w14:paraId="3AD91F2D" w14:textId="67F6AB09" w:rsidR="00C31D7A" w:rsidRDefault="00C31D7A" w:rsidP="00203691">
      <w:pPr>
        <w:pStyle w:val="DefListItem"/>
      </w:pPr>
      <w:r>
        <w:t>FSM</w:t>
      </w:r>
      <w:r>
        <w:tab/>
        <w:t>Federated States of Micronesia</w:t>
      </w:r>
    </w:p>
    <w:p w14:paraId="1F4E0DBE" w14:textId="77777777" w:rsidR="00203691" w:rsidRDefault="00203691" w:rsidP="00203691">
      <w:pPr>
        <w:pStyle w:val="DefListItem"/>
      </w:pPr>
      <w:r>
        <w:t>USGS</w:t>
      </w:r>
      <w:r>
        <w:tab/>
        <w:t>U.S. Geological Survey</w:t>
      </w:r>
    </w:p>
    <w:p w14:paraId="4DDF29DD" w14:textId="60E341FD" w:rsidR="00F623ED" w:rsidRDefault="00F623ED" w:rsidP="00203691">
      <w:pPr>
        <w:pStyle w:val="DefListItem"/>
      </w:pPr>
      <w:r>
        <w:t>ET</w:t>
      </w:r>
      <w:r>
        <w:tab/>
        <w:t>Evapotranspiration</w:t>
      </w:r>
    </w:p>
    <w:p w14:paraId="77FF8268" w14:textId="77777777" w:rsidR="005A559B" w:rsidRDefault="005A559B" w:rsidP="005A559B">
      <w:pPr>
        <w:pStyle w:val="DefListItem"/>
      </w:pPr>
      <w:r>
        <w:t>P</w:t>
      </w:r>
      <w:r>
        <w:tab/>
        <w:t>P</w:t>
      </w:r>
      <w:r w:rsidRPr="00E33C63">
        <w:t>recipitation</w:t>
      </w:r>
    </w:p>
    <w:p w14:paraId="7DCB6FCF" w14:textId="2F0DC1AB" w:rsidR="009A6CCD" w:rsidRDefault="009A6CCD" w:rsidP="00203691">
      <w:pPr>
        <w:pStyle w:val="DefListItem"/>
      </w:pPr>
      <w:r w:rsidRPr="00E83878">
        <w:t>ENSO</w:t>
      </w:r>
      <w:r>
        <w:tab/>
      </w:r>
      <w:r w:rsidR="00E13B69" w:rsidRPr="00E13B69">
        <w:t>El Niño–Southern Oscillation</w:t>
      </w:r>
    </w:p>
    <w:p w14:paraId="571BCA7D" w14:textId="77777777" w:rsidR="005A559B" w:rsidRDefault="005A559B" w:rsidP="00DA6B7A">
      <w:pPr>
        <w:pStyle w:val="Head1"/>
      </w:pPr>
      <w:bookmarkStart w:id="26" w:name="_Toc507583983"/>
      <w:bookmarkStart w:id="27" w:name="_Toc507584037"/>
      <w:bookmarkStart w:id="28" w:name="_Toc531073708"/>
      <w:bookmarkStart w:id="29" w:name="_Toc219446481"/>
      <w:bookmarkStart w:id="30" w:name="_Toc228288429"/>
      <w:bookmarkEnd w:id="0"/>
      <w:bookmarkEnd w:id="1"/>
      <w:bookmarkEnd w:id="2"/>
    </w:p>
    <w:p w14:paraId="64A60D78" w14:textId="06097FD6" w:rsidR="00DA6B7A" w:rsidRDefault="00DA6B7A" w:rsidP="00DA6B7A">
      <w:pPr>
        <w:pStyle w:val="Head1"/>
      </w:pPr>
      <w:r>
        <w:t>Introduction</w:t>
      </w:r>
      <w:bookmarkEnd w:id="26"/>
      <w:bookmarkEnd w:id="27"/>
      <w:bookmarkEnd w:id="28"/>
      <w:bookmarkEnd w:id="29"/>
      <w:bookmarkEnd w:id="30"/>
    </w:p>
    <w:p w14:paraId="43F5E42D" w14:textId="5B75B2F0" w:rsidR="0067511F" w:rsidRPr="0067511F" w:rsidRDefault="0067511F" w:rsidP="0067511F">
      <w:pPr>
        <w:pStyle w:val="BodyText"/>
      </w:pPr>
      <w:bookmarkStart w:id="31" w:name="_Ref78877437"/>
      <w:bookmarkStart w:id="32" w:name="_Ref20754636"/>
      <w:r>
        <w:t>Freshwater is critically important for life across the Pacific islands. Utilities, resource managers, and the public increasingly require reliable hydrologic information to support water</w:t>
      </w:r>
      <w:r w:rsidR="098581B8">
        <w:t xml:space="preserve"> </w:t>
      </w:r>
      <w:r>
        <w:t xml:space="preserve">resource planning, reduce the impacts of droughts, and improve the </w:t>
      </w:r>
      <w:r w:rsidR="141CC6C4">
        <w:t>long-term</w:t>
      </w:r>
      <w:r>
        <w:t xml:space="preserve"> security of freshwater supplies. The Asian Development Bank (ADB), whose mission includes strengthening economic resilience and supporting sustainable development across Asia and the Pacific (ADB, 196</w:t>
      </w:r>
      <w:r w:rsidR="00141085">
        <w:t>5</w:t>
      </w:r>
      <w:r>
        <w:t>), recognizes that dependable access to safe water is fundamental to public health and economic stability.</w:t>
      </w:r>
    </w:p>
    <w:p w14:paraId="4B3F7600" w14:textId="171DD2DC" w:rsidR="0067511F" w:rsidRPr="0067511F" w:rsidRDefault="0067511F" w:rsidP="0067511F">
      <w:pPr>
        <w:pStyle w:val="BodyText"/>
      </w:pPr>
      <w:r>
        <w:t>If water managers better understand the timing, magnitude, and variability of freshwater availability, they can more effectively allocate resources, plan infrastructure improvements, and anticipate periods of deficit. Potential development actions</w:t>
      </w:r>
      <w:r w:rsidR="00104FDE">
        <w:t xml:space="preserve">, </w:t>
      </w:r>
      <w:r>
        <w:t>such as expanding water</w:t>
      </w:r>
      <w:r w:rsidR="1FF88A8A">
        <w:t xml:space="preserve"> </w:t>
      </w:r>
      <w:r>
        <w:t>storage capacity, hardening supply systems, or improving watershed protection</w:t>
      </w:r>
      <w:r w:rsidR="00104FDE">
        <w:t xml:space="preserve">, </w:t>
      </w:r>
      <w:r>
        <w:t>depend on having consistent and accessible hydrologic information. Satellite</w:t>
      </w:r>
      <w:r w:rsidR="29A136D0">
        <w:t xml:space="preserve"> </w:t>
      </w:r>
      <w:r>
        <w:t>based datasets provide an efficient means of meeting these needs across the region’s many small, remote, and data</w:t>
      </w:r>
      <w:r w:rsidR="3A5C436A">
        <w:t xml:space="preserve"> </w:t>
      </w:r>
      <w:r>
        <w:t>sparse islands.</w:t>
      </w:r>
    </w:p>
    <w:p w14:paraId="5C9ECE2B" w14:textId="5BE633D5" w:rsidR="0067511F" w:rsidRPr="0067511F" w:rsidRDefault="0067511F" w:rsidP="0067511F">
      <w:pPr>
        <w:pStyle w:val="BodyText"/>
      </w:pPr>
      <w:r>
        <w:t>To address these challenges, ADB and the U.S. Geological Survey (USGS) partnered to evaluate how Earth</w:t>
      </w:r>
      <w:r w:rsidR="6BBF9F99">
        <w:t xml:space="preserve"> </w:t>
      </w:r>
      <w:r>
        <w:t>observation products can support water</w:t>
      </w:r>
      <w:r w:rsidR="0B5C4B4F">
        <w:t xml:space="preserve"> </w:t>
      </w:r>
      <w:r>
        <w:t xml:space="preserve">resource management across the Federated States of Micronesia (FSM). The collaboration focuses on analyzing </w:t>
      </w:r>
      <w:r w:rsidR="25FEB992">
        <w:t>long-term</w:t>
      </w:r>
      <w:r>
        <w:t xml:space="preserve"> satellite datasets for precipitation, evapotranspiration (ET), seasonal rainfall variability, drought monitoring, and </w:t>
      </w:r>
      <w:r w:rsidR="35A6EEA6">
        <w:t>short-term</w:t>
      </w:r>
      <w:r w:rsidR="009F17C8">
        <w:t xml:space="preserve"> precipitation</w:t>
      </w:r>
      <w:r w:rsidR="00F863D5">
        <w:t xml:space="preserve"> </w:t>
      </w:r>
      <w:r>
        <w:t xml:space="preserve">forecasting indicators. The methods used to generate these datasets are detailed in Volume 1 – Overview of this series, while Volume 2 applies those methods to </w:t>
      </w:r>
      <w:r w:rsidR="00DE64BE">
        <w:t xml:space="preserve">the </w:t>
      </w:r>
      <w:r>
        <w:t>four priority population centers</w:t>
      </w:r>
      <w:r w:rsidR="00DE64BE">
        <w:t xml:space="preserve"> in FSM of</w:t>
      </w:r>
      <w:r>
        <w:t xml:space="preserve"> Kosrae, Pohnpei, Yap, and Weno in the Chuuk Lagoon.</w:t>
      </w:r>
    </w:p>
    <w:p w14:paraId="2B784E23" w14:textId="2F8FCACF" w:rsidR="00840C50" w:rsidRDefault="00D42BB8" w:rsidP="00E37E53">
      <w:pPr>
        <w:pStyle w:val="Head1"/>
      </w:pPr>
      <w:bookmarkStart w:id="33" w:name="_Toc219446485"/>
      <w:bookmarkStart w:id="34" w:name="_Toc228288430"/>
      <w:bookmarkEnd w:id="31"/>
      <w:bookmarkEnd w:id="32"/>
      <w:r>
        <w:t>Purpose and Scope</w:t>
      </w:r>
      <w:bookmarkEnd w:id="34"/>
    </w:p>
    <w:bookmarkEnd w:id="33"/>
    <w:p w14:paraId="719D20F6" w14:textId="31A77751" w:rsidR="00BE0E57" w:rsidRPr="00BE0E57" w:rsidRDefault="007C11F0" w:rsidP="00BE0E57">
      <w:pPr>
        <w:pStyle w:val="BodyText"/>
      </w:pPr>
      <w:r>
        <w:t>This</w:t>
      </w:r>
      <w:r w:rsidR="00BE0E57">
        <w:t xml:space="preserve"> report present</w:t>
      </w:r>
      <w:r>
        <w:t>s</w:t>
      </w:r>
      <w:r w:rsidR="00BE0E57">
        <w:t xml:space="preserve"> the results of a collaborative effort by the USGS and the ADB to assess the applicability of remotely sensed Earth</w:t>
      </w:r>
      <w:r w:rsidR="0A36A87A">
        <w:t xml:space="preserve"> </w:t>
      </w:r>
      <w:r w:rsidR="00BE0E57">
        <w:t>observation data for improving understanding of water</w:t>
      </w:r>
      <w:r w:rsidR="53ADE603">
        <w:t xml:space="preserve"> </w:t>
      </w:r>
      <w:r w:rsidR="00BE0E57">
        <w:t>resource conditions across the Federated States of Micronesia. The work supports regional efforts to address persistent water</w:t>
      </w:r>
      <w:r w:rsidR="6809C1BF">
        <w:t xml:space="preserve"> </w:t>
      </w:r>
      <w:r w:rsidR="00BE0E57">
        <w:t>availability challenges on Pacific islands, where freshwater supplies can be limited for extended periods.</w:t>
      </w:r>
    </w:p>
    <w:p w14:paraId="34066FDC" w14:textId="3424A609" w:rsidR="00BE0E57" w:rsidRPr="00BE0E57" w:rsidRDefault="00BE0E57" w:rsidP="00BE0E57">
      <w:pPr>
        <w:pStyle w:val="BodyText"/>
      </w:pPr>
      <w:r>
        <w:t>This volume documents the analytical components of the study and provides results for four priority population centers</w:t>
      </w:r>
      <w:r w:rsidR="0087754A">
        <w:t xml:space="preserve">: </w:t>
      </w:r>
      <w:r>
        <w:t xml:space="preserve">Kosrae, Pohnpei, Yap, and the city of Weno in the Chuuk Lagoon. The scope of the report includes </w:t>
      </w:r>
      <w:r w:rsidR="5C86CC5B">
        <w:t>satellite-based</w:t>
      </w:r>
      <w:r>
        <w:t xml:space="preserve"> assessments of precipitation, evapotranspiration, seasonal rainfall variability, drought monitoring indicators, and </w:t>
      </w:r>
      <w:r w:rsidR="00F5656E">
        <w:t>automated 7-</w:t>
      </w:r>
      <w:r w:rsidR="00B9386B">
        <w:t>d</w:t>
      </w:r>
      <w:r w:rsidR="00F5656E">
        <w:t xml:space="preserve">ay </w:t>
      </w:r>
      <w:r w:rsidR="00B9386B">
        <w:t>p</w:t>
      </w:r>
      <w:r w:rsidR="00F5656E">
        <w:t xml:space="preserve">recipitation </w:t>
      </w:r>
      <w:r w:rsidR="00B9386B">
        <w:t>f</w:t>
      </w:r>
      <w:r w:rsidR="00F5656E">
        <w:t>orecasting</w:t>
      </w:r>
      <w:r>
        <w:t>. Methods used to generate these datasets are presented in Volume 1 of this series; the present volume focuses on applying those methods within FSM and summarizing the resulting water</w:t>
      </w:r>
      <w:r w:rsidR="484FC4B1">
        <w:t xml:space="preserve"> </w:t>
      </w:r>
      <w:r>
        <w:t>availability information.</w:t>
      </w:r>
    </w:p>
    <w:p w14:paraId="75FE1360" w14:textId="76757ADD" w:rsidR="00BE0E57" w:rsidRPr="00BE0E57" w:rsidRDefault="00BE0E57" w:rsidP="00BE0E57">
      <w:pPr>
        <w:pStyle w:val="BodyText"/>
      </w:pPr>
      <w:r w:rsidRPr="00BE0E57">
        <w:t xml:space="preserve">Each chapter describes the datasets used, outlines key processing steps, and presents the derived products for the respective study </w:t>
      </w:r>
      <w:r w:rsidR="005A559B" w:rsidRPr="00BE0E57">
        <w:t>areas</w:t>
      </w:r>
      <w:r w:rsidRPr="00BE0E57">
        <w:t>. The information provided is intended to assist water managers, utilities, and planners in evaluating hydrologic conditions, identifying periods of relative water surplus or shortage, and supporting decisions related to water conservation, infrastructure planning, and resource management.</w:t>
      </w:r>
    </w:p>
    <w:p w14:paraId="699BB30A" w14:textId="5EBAFEC4" w:rsidR="00AB771E" w:rsidRDefault="00AB771E" w:rsidP="00AB771E">
      <w:pPr>
        <w:pStyle w:val="BodyText"/>
        <w:ind w:firstLine="0"/>
      </w:pPr>
    </w:p>
    <w:p w14:paraId="5F604AC1" w14:textId="0F7DDB30" w:rsidR="00252367" w:rsidRDefault="00EF7339" w:rsidP="00CA402A">
      <w:pPr>
        <w:pStyle w:val="Head1"/>
      </w:pPr>
      <w:bookmarkStart w:id="35" w:name="_Toc228288431"/>
      <w:r>
        <w:t xml:space="preserve">Federated States of </w:t>
      </w:r>
      <w:r w:rsidR="00FD2418">
        <w:t>Micronesia (FSM)</w:t>
      </w:r>
      <w:bookmarkEnd w:id="35"/>
      <w:r w:rsidR="00FD2418">
        <w:t xml:space="preserve"> </w:t>
      </w:r>
    </w:p>
    <w:p w14:paraId="79025E9C" w14:textId="22A64DDE" w:rsidR="00450DF6" w:rsidRDefault="00E83878" w:rsidP="00E83878">
      <w:pPr>
        <w:pStyle w:val="BodyText"/>
      </w:pPr>
      <w:r>
        <w:t>Beginning in 2024, the USGS entered a collaborative relationship with ADB to assess the utility of various remotely sensed datasets for improving water</w:t>
      </w:r>
      <w:r w:rsidR="2FB849AA">
        <w:t xml:space="preserve"> </w:t>
      </w:r>
      <w:r>
        <w:t>resource management within the FSM</w:t>
      </w:r>
      <w:r w:rsidR="008D3CEB">
        <w:t xml:space="preserve">, which </w:t>
      </w:r>
      <w:r>
        <w:t>spans nearly 2,700 kilometers across the western Pacific between roughly 1° and 10° north latitude, encompassing more than 600 islands with substantial variation in hydrologic characteristics</w:t>
      </w:r>
      <w:r w:rsidR="0068669E">
        <w:t xml:space="preserve"> (</w:t>
      </w:r>
      <w:r>
        <w:fldChar w:fldCharType="begin"/>
      </w:r>
      <w:r>
        <w:instrText xml:space="preserve"> REF _Ref226899645 \h </w:instrText>
      </w:r>
      <w:r>
        <w:fldChar w:fldCharType="separate"/>
      </w:r>
      <w:r w:rsidR="00244816" w:rsidRPr="5D4249CE">
        <w:rPr>
          <w:rFonts w:ascii="Arial Narrow" w:hAnsi="Arial Narrow"/>
        </w:rPr>
        <w:t xml:space="preserve">Figure </w:t>
      </w:r>
      <w:r w:rsidR="00244816" w:rsidRPr="5D4249CE">
        <w:rPr>
          <w:rFonts w:ascii="Arial Narrow" w:hAnsi="Arial Narrow"/>
          <w:noProof/>
        </w:rPr>
        <w:t>1</w:t>
      </w:r>
      <w:r>
        <w:fldChar w:fldCharType="end"/>
      </w:r>
      <w:r w:rsidR="0068669E">
        <w:t>)</w:t>
      </w:r>
      <w:r>
        <w:t>.</w:t>
      </w:r>
    </w:p>
    <w:p w14:paraId="479E168B" w14:textId="7A60AE5C" w:rsidR="00450DF6" w:rsidRDefault="00450DF6" w:rsidP="00450DF6">
      <w:pPr>
        <w:pStyle w:val="FigureCaption"/>
        <w:rPr>
          <w:b/>
          <w:bCs/>
        </w:rPr>
      </w:pPr>
      <w:r>
        <w:rPr>
          <w:noProof/>
        </w:rPr>
        <w:drawing>
          <wp:inline distT="0" distB="0" distL="0" distR="0" wp14:anchorId="6A0DE64C" wp14:editId="54D4E7F3">
            <wp:extent cx="5943600" cy="5873000"/>
            <wp:effectExtent l="0" t="0" r="0" b="0"/>
            <wp:docPr id="171464294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4642949" name="Picture 1"/>
                    <pic:cNvPicPr/>
                  </pic:nvPicPr>
                  <pic:blipFill>
                    <a:blip r:embed="rId11"/>
                    <a:stretch>
                      <a:fillRect/>
                    </a:stretch>
                  </pic:blipFill>
                  <pic:spPr>
                    <a:xfrm>
                      <a:off x="0" y="0"/>
                      <a:ext cx="5943600" cy="5873000"/>
                    </a:xfrm>
                    <a:prstGeom prst="rect">
                      <a:avLst/>
                    </a:prstGeom>
                  </pic:spPr>
                </pic:pic>
              </a:graphicData>
            </a:graphic>
          </wp:inline>
        </w:drawing>
      </w:r>
    </w:p>
    <w:p w14:paraId="0928CCBD" w14:textId="25006109" w:rsidR="001049CA" w:rsidRPr="00B652E7" w:rsidRDefault="00B652E7" w:rsidP="00B652E7">
      <w:pPr>
        <w:pStyle w:val="Caption"/>
        <w:rPr>
          <w:rFonts w:ascii="Arial Narrow" w:hAnsi="Arial Narrow"/>
        </w:rPr>
      </w:pPr>
      <w:bookmarkStart w:id="36" w:name="_Ref226899645"/>
      <w:bookmarkStart w:id="37" w:name="_Ref226899638"/>
      <w:bookmarkStart w:id="38" w:name="_Toc227410273"/>
      <w:r w:rsidRPr="00B652E7">
        <w:rPr>
          <w:rFonts w:ascii="Arial Narrow" w:hAnsi="Arial Narrow"/>
        </w:rPr>
        <w:t xml:space="preserve">Figure </w:t>
      </w:r>
      <w:r w:rsidRPr="00B652E7">
        <w:rPr>
          <w:rFonts w:ascii="Arial Narrow" w:hAnsi="Arial Narrow"/>
        </w:rPr>
        <w:fldChar w:fldCharType="begin"/>
      </w:r>
      <w:r w:rsidRPr="00B652E7">
        <w:rPr>
          <w:rFonts w:ascii="Arial Narrow" w:hAnsi="Arial Narrow"/>
        </w:rPr>
        <w:instrText xml:space="preserve"> SEQ Figure \* ARABIC </w:instrText>
      </w:r>
      <w:r w:rsidRPr="00B652E7">
        <w:rPr>
          <w:rFonts w:ascii="Arial Narrow" w:hAnsi="Arial Narrow"/>
        </w:rPr>
        <w:fldChar w:fldCharType="separate"/>
      </w:r>
      <w:r w:rsidR="00244816">
        <w:rPr>
          <w:rFonts w:ascii="Arial Narrow" w:hAnsi="Arial Narrow"/>
          <w:noProof/>
        </w:rPr>
        <w:t>1</w:t>
      </w:r>
      <w:r w:rsidRPr="00B652E7">
        <w:rPr>
          <w:rFonts w:ascii="Arial Narrow" w:hAnsi="Arial Narrow"/>
        </w:rPr>
        <w:fldChar w:fldCharType="end"/>
      </w:r>
      <w:bookmarkEnd w:id="36"/>
      <w:r w:rsidRPr="00B652E7">
        <w:rPr>
          <w:rFonts w:ascii="Arial Narrow" w:hAnsi="Arial Narrow"/>
        </w:rPr>
        <w:t>. Map of Western Pacific Ocean Island Nations. The Geographic Coordinate System is WGS84. Sources: Esri, TomTom, FAO, NOAA, USGS.</w:t>
      </w:r>
      <w:bookmarkEnd w:id="37"/>
      <w:bookmarkEnd w:id="38"/>
    </w:p>
    <w:p w14:paraId="0BCBB117" w14:textId="7D431F96" w:rsidR="00450DF6" w:rsidRPr="00CA402A" w:rsidRDefault="001049CA" w:rsidP="00450DF6">
      <w:pPr>
        <w:pStyle w:val="FigureCaption"/>
      </w:pPr>
      <w:r>
        <w:tab/>
      </w:r>
      <w:r w:rsidR="005F6EBE">
        <w:t>Alt text:</w:t>
      </w:r>
      <w:r w:rsidR="00CD1BA1">
        <w:t xml:space="preserve"> </w:t>
      </w:r>
      <w:r w:rsidR="00CD1BA1" w:rsidRPr="00CD1BA1">
        <w:t>A map showing the Western Pacific Ocean island nations. The map uses the WGS84 geographic coordinate system and includes data sources from Esri, TomTom, FAO, NOAA, and USGS.</w:t>
      </w:r>
    </w:p>
    <w:p w14:paraId="4176F617" w14:textId="77777777" w:rsidR="00450DF6" w:rsidRDefault="00450DF6" w:rsidP="00E83878">
      <w:pPr>
        <w:pStyle w:val="BodyText"/>
      </w:pPr>
    </w:p>
    <w:p w14:paraId="063FD0D7" w14:textId="5DD2F51E" w:rsidR="00E83878" w:rsidRPr="00E83878" w:rsidRDefault="00E83878" w:rsidP="00E13B69">
      <w:pPr>
        <w:pStyle w:val="BodyText"/>
      </w:pPr>
      <w:r>
        <w:t xml:space="preserve"> High volcanic islands such as Kosrae and Pohnpei support dense cloud forests, steep catchments, and perennial stream networks that respond rapidly to intense rainfall events</w:t>
      </w:r>
      <w:r w:rsidR="001251BC">
        <w:t xml:space="preserve"> (Raynor, 1995)</w:t>
      </w:r>
      <w:r>
        <w:t xml:space="preserve">. In contrast, the </w:t>
      </w:r>
      <w:r w:rsidR="1E15F6E0">
        <w:t>low-lying</w:t>
      </w:r>
      <w:r>
        <w:t xml:space="preserve"> atolls of Yap State and the Chuuk Lagoon rely primarily on</w:t>
      </w:r>
      <w:r w:rsidR="70BCEBFE">
        <w:t xml:space="preserve"> groundwater from</w:t>
      </w:r>
      <w:r>
        <w:t xml:space="preserve"> thin freshwater lenses that are highly sensitive to changes in precipitation, evapotranspiration, and sea</w:t>
      </w:r>
      <w:r w:rsidR="44B0C671">
        <w:t xml:space="preserve"> </w:t>
      </w:r>
      <w:r>
        <w:t>level fluctuations</w:t>
      </w:r>
      <w:r w:rsidR="00572694">
        <w:t xml:space="preserve"> (Werner et al., 2017)</w:t>
      </w:r>
      <w:r>
        <w:t>. This broad geographic distribution across approximately 3 million km² of ocean exposes FSM to large spatial and temporal gradients in rainfall associated with the Intertropical Convergence Zone</w:t>
      </w:r>
      <w:r w:rsidR="006F4C3B">
        <w:t xml:space="preserve"> (ICZ)</w:t>
      </w:r>
      <w:r>
        <w:t xml:space="preserve">, </w:t>
      </w:r>
      <w:r w:rsidR="7FB933DB">
        <w:t>trade wind</w:t>
      </w:r>
      <w:r>
        <w:t xml:space="preserve"> patterns, and </w:t>
      </w:r>
      <w:r w:rsidR="6DE88F43">
        <w:t>ENSO driven</w:t>
      </w:r>
      <w:r w:rsidR="00E13B69">
        <w:t xml:space="preserve"> (El Niño–Southern Oscillation)</w:t>
      </w:r>
      <w:r>
        <w:t xml:space="preserve"> drought cycles</w:t>
      </w:r>
      <w:r w:rsidR="00BA1B6C">
        <w:t xml:space="preserve"> which are </w:t>
      </w:r>
      <w:r>
        <w:t>key factors limiting water reliability for communities with minimal surface</w:t>
      </w:r>
      <w:r w:rsidR="03B12364">
        <w:t xml:space="preserve"> </w:t>
      </w:r>
      <w:r>
        <w:t>water or storage capacity.</w:t>
      </w:r>
      <w:r w:rsidR="00A23185">
        <w:t xml:space="preserve"> </w:t>
      </w:r>
      <w:r w:rsidR="00A12311">
        <w:t>A regional map of mean precipitation</w:t>
      </w:r>
      <w:r w:rsidR="00523423">
        <w:t xml:space="preserve"> over the last 10 years highlights the</w:t>
      </w:r>
      <w:r w:rsidR="00E101F9">
        <w:t xml:space="preserve"> increased precipitation amounts across the FSM</w:t>
      </w:r>
      <w:r w:rsidR="00E32262">
        <w:t xml:space="preserve"> (</w:t>
      </w:r>
      <w:r>
        <w:fldChar w:fldCharType="begin"/>
      </w:r>
      <w:r>
        <w:instrText xml:space="preserve"> REF _Ref227404876 \h </w:instrText>
      </w:r>
      <w:r>
        <w:fldChar w:fldCharType="separate"/>
      </w:r>
      <w:r w:rsidR="00244816">
        <w:t xml:space="preserve">Figure </w:t>
      </w:r>
      <w:r w:rsidR="00244816" w:rsidRPr="5D4249CE">
        <w:rPr>
          <w:noProof/>
        </w:rPr>
        <w:t>2</w:t>
      </w:r>
      <w:r>
        <w:fldChar w:fldCharType="end"/>
      </w:r>
      <w:r w:rsidR="00E32262">
        <w:t>).</w:t>
      </w:r>
    </w:p>
    <w:p w14:paraId="20A271A4" w14:textId="4F677695" w:rsidR="00E32262" w:rsidRDefault="00E32262" w:rsidP="068EC54B">
      <w:pPr>
        <w:pStyle w:val="BodyText"/>
        <w:ind w:firstLine="0"/>
      </w:pPr>
      <w:r>
        <w:rPr>
          <w:noProof/>
        </w:rPr>
        <w:drawing>
          <wp:inline distT="0" distB="0" distL="0" distR="0" wp14:anchorId="4F3D10B0" wp14:editId="60E7F437">
            <wp:extent cx="5943600" cy="5873115"/>
            <wp:effectExtent l="0" t="0" r="0" b="0"/>
            <wp:docPr id="137039821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0398213" name="Picture 1370398213"/>
                    <pic:cNvPicPr/>
                  </pic:nvPicPr>
                  <pic:blipFill>
                    <a:blip r:embed="rId12"/>
                    <a:stretch>
                      <a:fillRect/>
                    </a:stretch>
                  </pic:blipFill>
                  <pic:spPr>
                    <a:xfrm>
                      <a:off x="0" y="0"/>
                      <a:ext cx="5943600" cy="5873115"/>
                    </a:xfrm>
                    <a:prstGeom prst="rect">
                      <a:avLst/>
                    </a:prstGeom>
                  </pic:spPr>
                </pic:pic>
              </a:graphicData>
            </a:graphic>
          </wp:inline>
        </w:drawing>
      </w:r>
    </w:p>
    <w:p w14:paraId="5D1E231E" w14:textId="3321E128" w:rsidR="00E32262" w:rsidRPr="000A40DB" w:rsidRDefault="005E533C" w:rsidP="005E533C">
      <w:pPr>
        <w:pStyle w:val="Caption"/>
        <w:rPr>
          <w:rFonts w:ascii="Arial Narrow" w:hAnsi="Arial Narrow"/>
        </w:rPr>
      </w:pPr>
      <w:bookmarkStart w:id="39" w:name="_Ref227404876"/>
      <w:bookmarkStart w:id="40" w:name="_Toc227410274"/>
      <w:r w:rsidRPr="000A40DB">
        <w:rPr>
          <w:rFonts w:ascii="Arial Narrow" w:hAnsi="Arial Narrow"/>
        </w:rPr>
        <w:t xml:space="preserve">Figure </w:t>
      </w:r>
      <w:r w:rsidRPr="000A40DB">
        <w:rPr>
          <w:rFonts w:ascii="Arial Narrow" w:hAnsi="Arial Narrow"/>
        </w:rPr>
        <w:fldChar w:fldCharType="begin"/>
      </w:r>
      <w:r w:rsidRPr="000A40DB">
        <w:rPr>
          <w:rFonts w:ascii="Arial Narrow" w:hAnsi="Arial Narrow"/>
        </w:rPr>
        <w:instrText xml:space="preserve"> SEQ Figure \* ARABIC </w:instrText>
      </w:r>
      <w:r w:rsidRPr="000A40DB">
        <w:rPr>
          <w:rFonts w:ascii="Arial Narrow" w:hAnsi="Arial Narrow"/>
        </w:rPr>
        <w:fldChar w:fldCharType="separate"/>
      </w:r>
      <w:r w:rsidR="00244816" w:rsidRPr="000A40DB">
        <w:rPr>
          <w:rFonts w:ascii="Arial Narrow" w:hAnsi="Arial Narrow"/>
        </w:rPr>
        <w:t>2</w:t>
      </w:r>
      <w:r w:rsidRPr="000A40DB">
        <w:rPr>
          <w:rFonts w:ascii="Arial Narrow" w:hAnsi="Arial Narrow"/>
        </w:rPr>
        <w:fldChar w:fldCharType="end"/>
      </w:r>
      <w:bookmarkEnd w:id="39"/>
      <w:r w:rsidRPr="000A40DB">
        <w:rPr>
          <w:rFonts w:ascii="Arial Narrow" w:hAnsi="Arial Narrow"/>
        </w:rPr>
        <w:t>. Mean annual precipitation from 2015 - 2024 from IMERG Final Run dataset, displaying lower values in light blue and higher values dark blue.</w:t>
      </w:r>
      <w:bookmarkEnd w:id="40"/>
    </w:p>
    <w:p w14:paraId="75715421" w14:textId="003C6C80" w:rsidR="005E533C" w:rsidRPr="000A40DB" w:rsidRDefault="005E533C" w:rsidP="005E533C">
      <w:pPr>
        <w:rPr>
          <w:rFonts w:ascii="Arial Narrow" w:hAnsi="Arial Narrow"/>
        </w:rPr>
      </w:pPr>
      <w:r w:rsidRPr="000A40DB">
        <w:rPr>
          <w:rFonts w:ascii="Arial Narrow" w:hAnsi="Arial Narrow"/>
        </w:rPr>
        <w:tab/>
        <w:t>Alt. text. Graphical repres</w:t>
      </w:r>
      <w:r w:rsidR="003A72DE" w:rsidRPr="000A40DB">
        <w:rPr>
          <w:rFonts w:ascii="Arial Narrow" w:hAnsi="Arial Narrow"/>
        </w:rPr>
        <w:t>entation of m</w:t>
      </w:r>
      <w:r w:rsidRPr="000A40DB">
        <w:rPr>
          <w:rFonts w:ascii="Arial Narrow" w:hAnsi="Arial Narrow"/>
        </w:rPr>
        <w:t>ean annual precipitation from 2015 - 2024 from IMERG Final Run dataset, displaying lower values in light blue and higher values dark blue.</w:t>
      </w:r>
    </w:p>
    <w:p w14:paraId="2D2F584D" w14:textId="1FFAAB3C" w:rsidR="00EC0B9F" w:rsidRDefault="00E83878" w:rsidP="00EC0B9F">
      <w:pPr>
        <w:pStyle w:val="BodyText"/>
      </w:pPr>
      <w:r>
        <w:t>In consultation with FSM water managers, ADB identified Kosrae, Pohnpei, Yap, and the city of Weno in the Chuuk Lagoon</w:t>
      </w:r>
      <w:r w:rsidR="008E5C0E">
        <w:t xml:space="preserve"> </w:t>
      </w:r>
      <w:r>
        <w:t>as priority locations for expanding precipitation</w:t>
      </w:r>
      <w:r w:rsidR="006D4B2E">
        <w:t xml:space="preserve"> (P)</w:t>
      </w:r>
      <w:r>
        <w:t xml:space="preserve">, </w:t>
      </w:r>
      <w:r w:rsidR="006D4B2E">
        <w:t xml:space="preserve">actual </w:t>
      </w:r>
      <w:r>
        <w:t>evapotranspiration</w:t>
      </w:r>
      <w:r w:rsidR="006D4B2E">
        <w:t xml:space="preserve"> (ETa)</w:t>
      </w:r>
      <w:r>
        <w:t>, water</w:t>
      </w:r>
      <w:r w:rsidR="31321E6F">
        <w:t xml:space="preserve"> </w:t>
      </w:r>
      <w:r>
        <w:t>balance, and drought</w:t>
      </w:r>
      <w:r w:rsidR="1A7400EF">
        <w:t xml:space="preserve"> </w:t>
      </w:r>
      <w:r>
        <w:t>monitoring datasets</w:t>
      </w:r>
      <w:r w:rsidR="00521B48">
        <w:t xml:space="preserve"> to </w:t>
      </w:r>
      <w:r>
        <w:t>reflect</w:t>
      </w:r>
      <w:r w:rsidR="00521B48">
        <w:t xml:space="preserve"> on</w:t>
      </w:r>
      <w:r>
        <w:t xml:space="preserve"> areas where hydrologic vulnerability, population density, and exposure to climate and geologic variability are greatest.</w:t>
      </w:r>
      <w:r w:rsidR="00EC0B9F">
        <w:t xml:space="preserve"> The water balance or net water availability is computed as difference between P and ETa (P- ETa)) at monthly and annual scales. Although change in storage can be considered negligible at annual time scales, the monthly water balance does not </w:t>
      </w:r>
      <w:proofErr w:type="gramStart"/>
      <w:r w:rsidR="00EC0B9F">
        <w:t>take into account</w:t>
      </w:r>
      <w:proofErr w:type="gramEnd"/>
      <w:r w:rsidR="00EC0B9F">
        <w:t xml:space="preserve"> </w:t>
      </w:r>
      <w:r w:rsidR="006D4B2E">
        <w:t xml:space="preserve">for </w:t>
      </w:r>
      <w:r w:rsidR="00EC0B9F">
        <w:t>storage changes in the system and thus should only be consulted as</w:t>
      </w:r>
      <w:r w:rsidR="00040C62">
        <w:t xml:space="preserve"> </w:t>
      </w:r>
      <w:r w:rsidR="00EC0B9F">
        <w:t>relative indicator</w:t>
      </w:r>
      <w:r w:rsidR="00040C62">
        <w:t>s</w:t>
      </w:r>
      <w:r w:rsidR="00EC0B9F">
        <w:t xml:space="preserve"> of P and ETa.</w:t>
      </w:r>
    </w:p>
    <w:p w14:paraId="7341D27F" w14:textId="24089D86" w:rsidR="00155B44" w:rsidRDefault="003148DA" w:rsidP="00EC0B9F">
      <w:pPr>
        <w:pStyle w:val="BodyText"/>
      </w:pPr>
      <w:r w:rsidRPr="003148DA">
        <w:t xml:space="preserve">The </w:t>
      </w:r>
      <w:r w:rsidR="0053459F">
        <w:t xml:space="preserve">drought </w:t>
      </w:r>
      <w:r w:rsidRPr="003148DA">
        <w:t>monitoring system uses monthly precipitation estimates from the IMERG</w:t>
      </w:r>
      <w:r w:rsidR="0053459F">
        <w:t xml:space="preserve"> </w:t>
      </w:r>
      <w:r w:rsidRPr="003148DA">
        <w:t>Early Run dataset and evaluates those estimates against a historical baseline (</w:t>
      </w:r>
      <w:r w:rsidR="007458B2">
        <w:t>1998</w:t>
      </w:r>
      <w:r w:rsidRPr="003148DA">
        <w:t>–</w:t>
      </w:r>
      <w:r w:rsidR="007458B2" w:rsidRPr="003148DA">
        <w:t>202</w:t>
      </w:r>
      <w:r w:rsidR="007458B2">
        <w:t>5</w:t>
      </w:r>
      <w:r w:rsidRPr="003148DA">
        <w:t xml:space="preserve">) using two complementary drought indices. The first is a quintile-based Rainfall Index that classifies precipitation </w:t>
      </w:r>
      <w:r w:rsidRPr="003148DA" w:rsidDel="007458B2">
        <w:t>conditions</w:t>
      </w:r>
      <w:r w:rsidR="007458B2" w:rsidRPr="003148DA">
        <w:t xml:space="preserve"> such</w:t>
      </w:r>
      <w:r w:rsidRPr="003148DA">
        <w:t xml:space="preserve"> as Drier, Dry, Typical, Wet, or Wetter relative to the historical distribution for each specific location and calendar month, computed at 1-month, 3-month, and 6-month accumulation windows. The second is the Pacific ENSO Applications Climate Center (PEAC) 4/8-inch </w:t>
      </w:r>
      <w:r w:rsidR="008D444B">
        <w:t xml:space="preserve">(10.2 cm/20.4 cm) </w:t>
      </w:r>
      <w:r w:rsidRPr="003148DA">
        <w:t>index, which applies fixed absolute monthly precipitation thresholds to flag potential risk to water supply systems.</w:t>
      </w:r>
      <w:r w:rsidR="005D031B">
        <w:t xml:space="preserve"> </w:t>
      </w:r>
    </w:p>
    <w:p w14:paraId="249056A4" w14:textId="165E4043" w:rsidR="001A5A5B" w:rsidRPr="001A5A5B" w:rsidRDefault="001A5A5B" w:rsidP="005A559B">
      <w:pPr>
        <w:pStyle w:val="BodyText"/>
      </w:pPr>
      <w:r w:rsidRPr="001A5A5B">
        <w:t>According to USGS seismic data, the FSM is considered a region of low to moderate seismicity, experiencing infrequent damaging earthquakes and relatively limited population exposure. Despite this, FSM is situated within the broader, tectonically active western Pacific, where significant regional earthquakes can still occur</w:t>
      </w:r>
      <w:r w:rsidR="697D2101">
        <w:t>, and the westernmost islands of Yap state are at greatest risk from seismic activity</w:t>
      </w:r>
      <w:r>
        <w:t>.</w:t>
      </w:r>
      <w:r w:rsidRPr="001A5A5B">
        <w:t xml:space="preserve"> </w:t>
      </w:r>
      <w:r w:rsidR="00B574FF">
        <w:t>The states</w:t>
      </w:r>
      <w:r w:rsidRPr="001A5A5B">
        <w:t xml:space="preserve"> occup</w:t>
      </w:r>
      <w:r w:rsidR="00B574FF">
        <w:t>y</w:t>
      </w:r>
      <w:r w:rsidRPr="001A5A5B">
        <w:t xml:space="preserve"> a complex tectonic setting influenced by the interactions among the Pacific Ocean, Philippine Sea, and Caroline Plates. Although the Caroline Plate itself moves relatively slowly, its boundary regions are affected by nearby subduction zones and transform faults, which occasionally generate regional seismic activity. These tectonic processes not only shape the long-term morphology of the islands and influence watershed evolution on volcanic </w:t>
      </w:r>
      <w:r w:rsidR="005A559B" w:rsidRPr="001A5A5B">
        <w:t>islands but</w:t>
      </w:r>
      <w:r w:rsidRPr="001A5A5B">
        <w:t xml:space="preserve"> also contribute to hazards such as landslides and coastal subsidence. Such hazards can impact freshwater infrastructure and groundwater storage (</w:t>
      </w:r>
      <w:r w:rsidR="00C4729B">
        <w:t xml:space="preserve">U.S. </w:t>
      </w:r>
      <w:r w:rsidRPr="001A5A5B">
        <w:t>Geological Survey, 2021).</w:t>
      </w:r>
    </w:p>
    <w:p w14:paraId="02A232B6" w14:textId="3D4AD1BE" w:rsidR="00AB3BB4" w:rsidRDefault="006C36EE" w:rsidP="005A559B">
      <w:pPr>
        <w:pStyle w:val="BodyText"/>
      </w:pPr>
      <w:r>
        <w:t>T</w:t>
      </w:r>
      <w:r w:rsidR="00AB3BB4">
        <w:t>he Federated States of Micronesia’s diverse island environments present unique hydrologic, climatic, and geologic challenges, which require tailored approaches for water resource monitoring and management. The following sections provide focused analyses for each island, starting with Kosrae, to address their specific characteristics and vulnerabilities.</w:t>
      </w:r>
    </w:p>
    <w:p w14:paraId="071E3D81" w14:textId="60F38C77" w:rsidR="00DC790B" w:rsidRDefault="00DC790B" w:rsidP="00DC790B">
      <w:pPr>
        <w:pStyle w:val="BodyText"/>
        <w:ind w:firstLine="0"/>
      </w:pPr>
    </w:p>
    <w:p w14:paraId="4F08797F" w14:textId="4B31EDE4" w:rsidR="002E02C6" w:rsidRDefault="002E02C6" w:rsidP="004836C2">
      <w:pPr>
        <w:pStyle w:val="Head2"/>
      </w:pPr>
      <w:bookmarkStart w:id="41" w:name="_Toc228288432"/>
      <w:r w:rsidRPr="004836C2">
        <w:t>Island of Kosrae</w:t>
      </w:r>
      <w:bookmarkEnd w:id="41"/>
    </w:p>
    <w:p w14:paraId="3951FA70" w14:textId="76B3E538" w:rsidR="00DC790B" w:rsidRDefault="000D0B6C" w:rsidP="000D0B6C">
      <w:r>
        <w:t>Kosrae, the easternmost state of the Federated States of Micronesia, is a high volcanic island located near 5°N and 163°E and is the most topographically elevated of the FSM study sites</w:t>
      </w:r>
      <w:r w:rsidR="00036BA0">
        <w:t xml:space="preserve"> (</w:t>
      </w:r>
      <w:r w:rsidR="00301387">
        <w:fldChar w:fldCharType="begin"/>
      </w:r>
      <w:r w:rsidR="00301387">
        <w:instrText xml:space="preserve"> REF _Ref226899698 \h </w:instrText>
      </w:r>
      <w:r w:rsidR="00301387">
        <w:fldChar w:fldCharType="separate"/>
      </w:r>
      <w:r w:rsidR="00244816" w:rsidRPr="00B43EC6">
        <w:rPr>
          <w:rFonts w:ascii="Arial Narrow" w:hAnsi="Arial Narrow"/>
        </w:rPr>
        <w:t xml:space="preserve">Figure </w:t>
      </w:r>
      <w:r w:rsidR="00244816">
        <w:rPr>
          <w:rFonts w:ascii="Arial Narrow" w:hAnsi="Arial Narrow"/>
          <w:noProof/>
        </w:rPr>
        <w:t>3</w:t>
      </w:r>
      <w:r w:rsidR="00301387">
        <w:fldChar w:fldCharType="end"/>
      </w:r>
      <w:r w:rsidR="00DC790B">
        <w:t>)</w:t>
      </w:r>
      <w:r>
        <w:t xml:space="preserve">. </w:t>
      </w:r>
    </w:p>
    <w:p w14:paraId="2B3DD674" w14:textId="2158C964" w:rsidR="006D56AD" w:rsidRDefault="005D1A03" w:rsidP="000D0B6C">
      <w:r>
        <w:rPr>
          <w:noProof/>
        </w:rPr>
        <w:drawing>
          <wp:inline distT="0" distB="0" distL="0" distR="0" wp14:anchorId="6632CB81" wp14:editId="7429ED7C">
            <wp:extent cx="4572000" cy="4675632"/>
            <wp:effectExtent l="0" t="0" r="0" b="0"/>
            <wp:docPr id="170384524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3845245" name="Picture 1703845245"/>
                    <pic:cNvPicPr/>
                  </pic:nvPicPr>
                  <pic:blipFill>
                    <a:blip r:embed="rId13"/>
                    <a:stretch>
                      <a:fillRect/>
                    </a:stretch>
                  </pic:blipFill>
                  <pic:spPr>
                    <a:xfrm>
                      <a:off x="0" y="0"/>
                      <a:ext cx="4572000" cy="4675632"/>
                    </a:xfrm>
                    <a:prstGeom prst="rect">
                      <a:avLst/>
                    </a:prstGeom>
                  </pic:spPr>
                </pic:pic>
              </a:graphicData>
            </a:graphic>
          </wp:inline>
        </w:drawing>
      </w:r>
    </w:p>
    <w:p w14:paraId="186208C0" w14:textId="30E598F1" w:rsidR="00E9544C" w:rsidRDefault="00B43EC6" w:rsidP="00B43EC6">
      <w:pPr>
        <w:pStyle w:val="Caption"/>
      </w:pPr>
      <w:bookmarkStart w:id="42" w:name="_Ref226899698"/>
      <w:bookmarkStart w:id="43" w:name="_Toc227410275"/>
      <w:r w:rsidRPr="00B43EC6">
        <w:rPr>
          <w:rFonts w:ascii="Arial Narrow" w:hAnsi="Arial Narrow"/>
        </w:rPr>
        <w:t xml:space="preserve">Figure </w:t>
      </w:r>
      <w:r w:rsidRPr="00B43EC6">
        <w:rPr>
          <w:rFonts w:ascii="Arial Narrow" w:hAnsi="Arial Narrow"/>
        </w:rPr>
        <w:fldChar w:fldCharType="begin"/>
      </w:r>
      <w:r w:rsidRPr="00B43EC6">
        <w:rPr>
          <w:rFonts w:ascii="Arial Narrow" w:hAnsi="Arial Narrow"/>
        </w:rPr>
        <w:instrText xml:space="preserve"> SEQ Figure \* ARABIC </w:instrText>
      </w:r>
      <w:r w:rsidRPr="00B43EC6">
        <w:rPr>
          <w:rFonts w:ascii="Arial Narrow" w:hAnsi="Arial Narrow"/>
        </w:rPr>
        <w:fldChar w:fldCharType="separate"/>
      </w:r>
      <w:r w:rsidR="00244816">
        <w:rPr>
          <w:rFonts w:ascii="Arial Narrow" w:hAnsi="Arial Narrow"/>
          <w:noProof/>
        </w:rPr>
        <w:t>3</w:t>
      </w:r>
      <w:r w:rsidRPr="00B43EC6">
        <w:rPr>
          <w:rFonts w:ascii="Arial Narrow" w:hAnsi="Arial Narrow"/>
        </w:rPr>
        <w:fldChar w:fldCharType="end"/>
      </w:r>
      <w:bookmarkEnd w:id="42"/>
      <w:r w:rsidRPr="00B43EC6">
        <w:rPr>
          <w:rFonts w:ascii="Arial Narrow" w:hAnsi="Arial Narrow"/>
        </w:rPr>
        <w:t>. Map of Kosrae. The Geographic Coordinate System is WGS84. Sources: Esri, TomTom, FAO, NOAA, USGS.</w:t>
      </w:r>
      <w:bookmarkEnd w:id="43"/>
      <w:r w:rsidR="00CD1BA1">
        <w:t xml:space="preserve"> </w:t>
      </w:r>
    </w:p>
    <w:p w14:paraId="2765E159" w14:textId="0D1E3D3E" w:rsidR="00CD1BA1" w:rsidRPr="00CA402A" w:rsidRDefault="00E9544C" w:rsidP="00CD1BA1">
      <w:pPr>
        <w:pStyle w:val="FigureCaption"/>
      </w:pPr>
      <w:r>
        <w:tab/>
      </w:r>
      <w:r w:rsidR="00CD1BA1">
        <w:t xml:space="preserve">Alt text: </w:t>
      </w:r>
      <w:r w:rsidR="00CD1BA1" w:rsidRPr="00CD1BA1">
        <w:t xml:space="preserve">A </w:t>
      </w:r>
      <w:r w:rsidR="00C62AFB">
        <w:t>simplified</w:t>
      </w:r>
      <w:r w:rsidR="004B6BC1">
        <w:t xml:space="preserve"> top</w:t>
      </w:r>
      <w:r w:rsidR="00C62AFB">
        <w:t>o</w:t>
      </w:r>
      <w:r w:rsidR="004B6BC1">
        <w:t xml:space="preserve">graphic </w:t>
      </w:r>
      <w:r w:rsidR="00CD1BA1" w:rsidRPr="00CD1BA1">
        <w:t xml:space="preserve">map showing </w:t>
      </w:r>
      <w:r w:rsidR="00E0730F">
        <w:t xml:space="preserve">the island </w:t>
      </w:r>
      <w:r w:rsidR="00C62AFB">
        <w:t xml:space="preserve">of </w:t>
      </w:r>
      <w:r w:rsidR="00E0730F">
        <w:t>Kosrae</w:t>
      </w:r>
      <w:r w:rsidR="00CD1BA1" w:rsidRPr="00CD1BA1">
        <w:t>. The map uses the WGS84 geographic coordinate system and includes data sources from Esri, TomTom, FAO, NOAA, and USGS.</w:t>
      </w:r>
    </w:p>
    <w:p w14:paraId="63FD9A6E" w14:textId="41487F7E" w:rsidR="000D0B6C" w:rsidRDefault="000D0B6C" w:rsidP="009F3CAC">
      <w:pPr>
        <w:pStyle w:val="BodyText"/>
      </w:pPr>
      <w:r>
        <w:t>The island is characterized by steep, densely forested slopes, deeply incised stream valleys, and a central mountainous interior that rises to more than 600 meters, creating strong orographic enhancement of rainfall</w:t>
      </w:r>
      <w:r w:rsidR="00F55D2C">
        <w:t xml:space="preserve"> (</w:t>
      </w:r>
      <w:r w:rsidR="008A457B" w:rsidRPr="008A457B">
        <w:t>Van der Brug, 1984</w:t>
      </w:r>
      <w:r w:rsidR="00F55D2C">
        <w:t>)</w:t>
      </w:r>
      <w:r>
        <w:t xml:space="preserve">. As a result, Kosrae receives some of the highest annual precipitation in the region, supporting perennial streamflow, extensive wetland areas, and saturated soils that respond rapidly to storm events. Freshwater availability is generally high compared to the other islands, though limited storage capacity and short watershed travel times can make the island vulnerable to </w:t>
      </w:r>
      <w:proofErr w:type="gramStart"/>
      <w:r>
        <w:t>short‑term</w:t>
      </w:r>
      <w:proofErr w:type="gramEnd"/>
      <w:r>
        <w:t xml:space="preserve"> droughts. Kosrae’s population</w:t>
      </w:r>
      <w:r w:rsidR="008516FF">
        <w:t xml:space="preserve"> is </w:t>
      </w:r>
      <w:r>
        <w:t xml:space="preserve">concentrated primarily in coastal communities </w:t>
      </w:r>
      <w:r w:rsidR="008516FF">
        <w:t xml:space="preserve">and </w:t>
      </w:r>
      <w:r>
        <w:t>relies on a combination of surface‑water intakes and small groundwater systems that are sensitive to changes in rainfall, land use, and sea‑level conditions. Geologically, Kosrae sits near the boundary of the slowly moving Caroline Plate, whose interactions with the adjacent Pacific Plate contribute to regional seismicity and the long‑term uplift and erosion patterns that shape the island’s steep volcanic landscape. Although major earthquakes are infrequent locally, regional tectonic activity influences slope stability, coastal processes, and the resilience of water‑resource infrastructure.</w:t>
      </w:r>
    </w:p>
    <w:p w14:paraId="67910A5A" w14:textId="77777777" w:rsidR="00A93842" w:rsidRDefault="00A93842" w:rsidP="003900A6">
      <w:pPr>
        <w:pStyle w:val="BodyText"/>
      </w:pPr>
    </w:p>
    <w:p w14:paraId="4EE129DC" w14:textId="6FD20830" w:rsidR="00F37C83" w:rsidRDefault="00F37C83" w:rsidP="004836C2">
      <w:pPr>
        <w:pStyle w:val="Head3"/>
      </w:pPr>
      <w:bookmarkStart w:id="44" w:name="_Toc228288433"/>
      <w:r w:rsidRPr="004836C2">
        <w:t>Precipitation</w:t>
      </w:r>
      <w:bookmarkEnd w:id="44"/>
    </w:p>
    <w:p w14:paraId="7FC50DB6" w14:textId="5211BC79" w:rsidR="00280632" w:rsidRPr="00280632" w:rsidRDefault="00766F3C" w:rsidP="00280632">
      <w:pPr>
        <w:pStyle w:val="BodyText"/>
      </w:pPr>
      <w:r>
        <w:t>Precipitation</w:t>
      </w:r>
      <w:r w:rsidR="00A05F35">
        <w:t xml:space="preserve"> (P)</w:t>
      </w:r>
      <w:r>
        <w:t xml:space="preserve"> is the primary source of freshwater across Pacific </w:t>
      </w:r>
      <w:r w:rsidR="00912A63">
        <w:t>Island</w:t>
      </w:r>
      <w:r>
        <w:t xml:space="preserve"> environments,</w:t>
      </w:r>
      <w:r w:rsidR="00B03995">
        <w:t xml:space="preserve"> </w:t>
      </w:r>
      <w:r w:rsidR="00280632">
        <w:t>because islands lack the buffering capacity of large watersheds or reservoirs</w:t>
      </w:r>
      <w:r w:rsidR="00706856">
        <w:t xml:space="preserve"> (Tribble, 2008)</w:t>
      </w:r>
      <w:r w:rsidR="00B03995">
        <w:t>. Therefore,</w:t>
      </w:r>
      <w:r w:rsidR="00280632">
        <w:t xml:space="preserve"> understanding spatial and temporal rainfall variability is essential for evaluating water availability, assessing drought risk, and guiding sustainable management of hydrologic resources. Satellite</w:t>
      </w:r>
      <w:r w:rsidR="126829BE">
        <w:t xml:space="preserve"> </w:t>
      </w:r>
      <w:r w:rsidR="00280632">
        <w:t>derived precipitation datasets provide a consistent means of monitoring these patterns across remote and data</w:t>
      </w:r>
      <w:r w:rsidR="1BF0A1E9">
        <w:t xml:space="preserve"> </w:t>
      </w:r>
      <w:r w:rsidR="00280632">
        <w:t>sparse island settings.</w:t>
      </w:r>
    </w:p>
    <w:p w14:paraId="0B39F9D8" w14:textId="3869A320" w:rsidR="00061B1B" w:rsidRDefault="00A05F35" w:rsidP="00360FFC">
      <w:pPr>
        <w:pStyle w:val="BodyText"/>
      </w:pPr>
      <w:r>
        <w:t xml:space="preserve">Precipitation </w:t>
      </w:r>
      <w:r w:rsidR="001C6FF3" w:rsidRPr="00061B1B">
        <w:t xml:space="preserve">patterns for </w:t>
      </w:r>
      <w:r w:rsidR="001C6FF3">
        <w:t>Kosrae</w:t>
      </w:r>
      <w:r w:rsidR="00C9282E">
        <w:t>, and the other islands,</w:t>
      </w:r>
      <w:r w:rsidR="001C6FF3" w:rsidRPr="00061B1B">
        <w:t xml:space="preserve"> were derived using the</w:t>
      </w:r>
      <w:r w:rsidR="00061B1B" w:rsidRPr="00061B1B">
        <w:t xml:space="preserve"> Integrated Multi</w:t>
      </w:r>
      <w:r w:rsidR="00061B1B" w:rsidRPr="00061B1B">
        <w:noBreakHyphen/>
      </w:r>
      <w:proofErr w:type="spellStart"/>
      <w:r w:rsidR="00061B1B" w:rsidRPr="00061B1B">
        <w:t>satellitE</w:t>
      </w:r>
      <w:proofErr w:type="spellEnd"/>
      <w:r w:rsidR="00061B1B" w:rsidRPr="00061B1B">
        <w:t xml:space="preserve"> Retrievals for GPM (IMERG) </w:t>
      </w:r>
      <w:r w:rsidR="0011031B">
        <w:t xml:space="preserve">precipitation </w:t>
      </w:r>
      <w:r w:rsidR="00061B1B" w:rsidRPr="00061B1B">
        <w:t xml:space="preserve">dataset </w:t>
      </w:r>
      <w:r w:rsidR="00E208DD">
        <w:t>(</w:t>
      </w:r>
      <w:r w:rsidR="00E250AF">
        <w:t xml:space="preserve">Huffman </w:t>
      </w:r>
      <w:r w:rsidR="005A559B">
        <w:t>and others</w:t>
      </w:r>
      <w:r w:rsidR="00E250AF">
        <w:t xml:space="preserve">, </w:t>
      </w:r>
      <w:r w:rsidR="006D3D79">
        <w:t>2019</w:t>
      </w:r>
      <w:r w:rsidR="00E208DD">
        <w:t>)</w:t>
      </w:r>
      <w:r w:rsidR="00061B1B" w:rsidRPr="00061B1B">
        <w:t>.</w:t>
      </w:r>
      <w:r w:rsidR="00360FFC">
        <w:t xml:space="preserve"> </w:t>
      </w:r>
      <w:r w:rsidR="00473871">
        <w:t>After the data was acquired</w:t>
      </w:r>
      <w:r w:rsidR="00431A39">
        <w:t xml:space="preserve">, the island average for every day from 1 January 1998 to </w:t>
      </w:r>
      <w:r w:rsidR="00C968E5">
        <w:t>31</w:t>
      </w:r>
      <w:r w:rsidR="00D00FEE">
        <w:t xml:space="preserve"> </w:t>
      </w:r>
      <w:r w:rsidR="001F40CA">
        <w:t>September</w:t>
      </w:r>
      <w:r w:rsidR="00C968E5">
        <w:t xml:space="preserve"> </w:t>
      </w:r>
      <w:r w:rsidR="00C968E5" w:rsidRPr="005A559B">
        <w:t xml:space="preserve">2025 was created </w:t>
      </w:r>
      <w:r w:rsidR="003B7E31" w:rsidRPr="005A559B">
        <w:t>and</w:t>
      </w:r>
      <w:r w:rsidR="00235D37" w:rsidRPr="005A559B">
        <w:t xml:space="preserve"> </w:t>
      </w:r>
      <w:r w:rsidR="002F5F39" w:rsidRPr="005A559B">
        <w:t xml:space="preserve">can be accessed </w:t>
      </w:r>
      <w:r w:rsidR="00C26F89" w:rsidRPr="005A559B">
        <w:t>from</w:t>
      </w:r>
      <w:r w:rsidR="004620D7" w:rsidRPr="005A559B">
        <w:t xml:space="preserve"> (USGS Data release)</w:t>
      </w:r>
      <w:r w:rsidR="00235D37" w:rsidRPr="005A559B">
        <w:t>.</w:t>
      </w:r>
    </w:p>
    <w:p w14:paraId="6728CB88" w14:textId="19389A25" w:rsidR="004620D7" w:rsidRDefault="00556EFB" w:rsidP="00061B1B">
      <w:pPr>
        <w:pStyle w:val="BodyText"/>
      </w:pPr>
      <w:r>
        <w:t xml:space="preserve">Kosrae has </w:t>
      </w:r>
      <w:r w:rsidR="00A30AA5">
        <w:t xml:space="preserve">a </w:t>
      </w:r>
      <w:r w:rsidR="0042396A">
        <w:t>humid, high-precipitation tropical climate dominated by orographic rainfall, with extremely wet conditions year-round but still susceptible to short drought periods</w:t>
      </w:r>
      <w:r w:rsidR="001C644A">
        <w:t>.</w:t>
      </w:r>
      <w:r w:rsidR="00313E3E">
        <w:t xml:space="preserve"> </w:t>
      </w:r>
      <w:r w:rsidR="00F2577E">
        <w:t xml:space="preserve">The </w:t>
      </w:r>
      <w:r w:rsidR="007B7EBF">
        <w:t>mean</w:t>
      </w:r>
      <w:r w:rsidR="00F2577E">
        <w:t xml:space="preserve"> annual total </w:t>
      </w:r>
      <w:r w:rsidR="00830F55">
        <w:t>precipitation</w:t>
      </w:r>
      <w:r w:rsidR="00F2577E">
        <w:t xml:space="preserve"> is </w:t>
      </w:r>
      <w:r w:rsidR="000F46E9">
        <w:t>4063 mm</w:t>
      </w:r>
      <w:r w:rsidR="000F46E9" w:rsidRPr="00200744">
        <w:t>/yr</w:t>
      </w:r>
      <w:r w:rsidR="002863FC" w:rsidRPr="00200744">
        <w:t xml:space="preserve"> (</w:t>
      </w:r>
      <w:r w:rsidR="00301387" w:rsidRPr="00200744">
        <w:fldChar w:fldCharType="begin"/>
      </w:r>
      <w:r w:rsidR="00301387" w:rsidRPr="00200744">
        <w:instrText xml:space="preserve"> REF _Ref226899749 \h </w:instrText>
      </w:r>
      <w:r w:rsidR="00200744">
        <w:instrText xml:space="preserve"> \* MERGEFORMAT </w:instrText>
      </w:r>
      <w:r w:rsidR="00301387" w:rsidRPr="00200744">
        <w:fldChar w:fldCharType="separate"/>
      </w:r>
      <w:r w:rsidR="00244816" w:rsidRPr="00200744">
        <w:t xml:space="preserve">Table </w:t>
      </w:r>
      <w:r w:rsidR="00244816" w:rsidRPr="00200744">
        <w:rPr>
          <w:noProof/>
        </w:rPr>
        <w:t>1</w:t>
      </w:r>
      <w:r w:rsidR="00301387" w:rsidRPr="00200744">
        <w:fldChar w:fldCharType="end"/>
      </w:r>
      <w:r w:rsidR="002863FC" w:rsidRPr="00200744">
        <w:t>)</w:t>
      </w:r>
      <w:r w:rsidR="002863FC">
        <w:t xml:space="preserve"> and the </w:t>
      </w:r>
      <w:r w:rsidR="00217DC5">
        <w:t xml:space="preserve">mean monthly precipitation </w:t>
      </w:r>
      <w:r w:rsidR="00D55401">
        <w:t>is 339 mm.</w:t>
      </w:r>
      <w:r w:rsidR="00CA6089">
        <w:t xml:space="preserve"> The </w:t>
      </w:r>
      <w:r w:rsidR="00E97A95">
        <w:t>average</w:t>
      </w:r>
      <w:r w:rsidR="00FB192B">
        <w:t xml:space="preserve"> minimum precipitation in a month is never below 120mm for the 27-year period</w:t>
      </w:r>
      <w:r w:rsidR="000344A8">
        <w:t xml:space="preserve"> which is expected for the </w:t>
      </w:r>
      <w:r w:rsidR="00290092">
        <w:t>island’s</w:t>
      </w:r>
      <w:r w:rsidR="000344A8">
        <w:t xml:space="preserve"> </w:t>
      </w:r>
      <w:r w:rsidR="005B0ADB">
        <w:t>climate</w:t>
      </w:r>
      <w:r w:rsidR="00290092">
        <w:t xml:space="preserve"> while the </w:t>
      </w:r>
      <w:r w:rsidR="007B7EBF">
        <w:t>mean</w:t>
      </w:r>
      <w:r w:rsidR="00290092">
        <w:t xml:space="preserve"> </w:t>
      </w:r>
      <w:r w:rsidR="00E97A95">
        <w:t xml:space="preserve">maximum </w:t>
      </w:r>
      <w:r w:rsidR="00B3147F">
        <w:t>precipitation in a month is 520mm.</w:t>
      </w:r>
    </w:p>
    <w:p w14:paraId="0B9A90C6" w14:textId="700ACFCB" w:rsidR="0085176F" w:rsidRPr="0085176F" w:rsidRDefault="00C6637B" w:rsidP="00C6637B">
      <w:pPr>
        <w:pStyle w:val="Caption"/>
        <w:keepNext/>
        <w:rPr>
          <w:rFonts w:ascii="Arial Narrow" w:hAnsi="Arial Narrow"/>
        </w:rPr>
      </w:pPr>
      <w:bookmarkStart w:id="45" w:name="_Ref226899749"/>
      <w:bookmarkStart w:id="46" w:name="_Ref226899721"/>
      <w:bookmarkStart w:id="47" w:name="_Toc228288461"/>
      <w:r w:rsidRPr="00C6637B">
        <w:rPr>
          <w:rFonts w:ascii="Arial Narrow" w:hAnsi="Arial Narrow"/>
        </w:rPr>
        <w:t xml:space="preserve">Table </w:t>
      </w:r>
      <w:r w:rsidR="00F1468A">
        <w:rPr>
          <w:rFonts w:ascii="Arial Narrow" w:hAnsi="Arial Narrow"/>
        </w:rPr>
        <w:fldChar w:fldCharType="begin"/>
      </w:r>
      <w:r w:rsidR="00F1468A">
        <w:rPr>
          <w:rFonts w:ascii="Arial Narrow" w:hAnsi="Arial Narrow"/>
        </w:rPr>
        <w:instrText xml:space="preserve"> SEQ Table \* ARABIC </w:instrText>
      </w:r>
      <w:r w:rsidR="00F1468A">
        <w:rPr>
          <w:rFonts w:ascii="Arial Narrow" w:hAnsi="Arial Narrow"/>
        </w:rPr>
        <w:fldChar w:fldCharType="separate"/>
      </w:r>
      <w:r w:rsidR="00244816">
        <w:rPr>
          <w:rFonts w:ascii="Arial Narrow" w:hAnsi="Arial Narrow"/>
          <w:noProof/>
        </w:rPr>
        <w:t>1</w:t>
      </w:r>
      <w:r w:rsidR="00F1468A">
        <w:rPr>
          <w:rFonts w:ascii="Arial Narrow" w:hAnsi="Arial Narrow"/>
        </w:rPr>
        <w:fldChar w:fldCharType="end"/>
      </w:r>
      <w:bookmarkEnd w:id="45"/>
      <w:r w:rsidRPr="00C6637B">
        <w:rPr>
          <w:rFonts w:ascii="Arial Narrow" w:hAnsi="Arial Narrow"/>
        </w:rPr>
        <w:t xml:space="preserve">. </w:t>
      </w:r>
      <w:r w:rsidR="00FA2A7A">
        <w:rPr>
          <w:rFonts w:ascii="Arial Narrow" w:hAnsi="Arial Narrow"/>
        </w:rPr>
        <w:t xml:space="preserve">Mean </w:t>
      </w:r>
      <w:r w:rsidRPr="00C6637B">
        <w:rPr>
          <w:rFonts w:ascii="Arial Narrow" w:hAnsi="Arial Narrow"/>
        </w:rPr>
        <w:t xml:space="preserve">IMERG Precipitation </w:t>
      </w:r>
      <w:r w:rsidR="009B515B">
        <w:rPr>
          <w:rFonts w:ascii="Arial Narrow" w:hAnsi="Arial Narrow"/>
        </w:rPr>
        <w:t>Summary</w:t>
      </w:r>
      <w:r w:rsidR="009B515B" w:rsidRPr="00C6637B">
        <w:rPr>
          <w:rFonts w:ascii="Arial Narrow" w:hAnsi="Arial Narrow"/>
        </w:rPr>
        <w:t xml:space="preserve"> </w:t>
      </w:r>
      <w:r w:rsidRPr="00C6637B">
        <w:rPr>
          <w:rFonts w:ascii="Arial Narrow" w:hAnsi="Arial Narrow"/>
        </w:rPr>
        <w:t>(1998–2024) for Kosrae</w:t>
      </w:r>
      <w:bookmarkEnd w:id="46"/>
      <w:bookmarkEnd w:id="47"/>
    </w:p>
    <w:tbl>
      <w:tblPr>
        <w:tblStyle w:val="TableGrid"/>
        <w:tblW w:w="0" w:type="auto"/>
        <w:tblLook w:val="04A0" w:firstRow="1" w:lastRow="0" w:firstColumn="1" w:lastColumn="0" w:noHBand="0" w:noVBand="1"/>
      </w:tblPr>
      <w:tblGrid>
        <w:gridCol w:w="3955"/>
        <w:gridCol w:w="3595"/>
      </w:tblGrid>
      <w:tr w:rsidR="00F567F9" w:rsidRPr="00937742" w14:paraId="2B2CE232" w14:textId="77777777" w:rsidTr="00B10666">
        <w:tc>
          <w:tcPr>
            <w:tcW w:w="3955" w:type="dxa"/>
          </w:tcPr>
          <w:p w14:paraId="45F4DE85" w14:textId="1C1DF897" w:rsidR="00F567F9" w:rsidRPr="0070522D" w:rsidRDefault="00F567F9">
            <w:pPr>
              <w:pStyle w:val="BodyText"/>
              <w:ind w:firstLine="0"/>
              <w:rPr>
                <w:rFonts w:ascii="Arial Narrow" w:hAnsi="Arial Narrow"/>
                <w:b/>
                <w:bCs/>
              </w:rPr>
            </w:pPr>
            <w:r w:rsidRPr="0070522D">
              <w:rPr>
                <w:rFonts w:ascii="Arial Narrow" w:hAnsi="Arial Narrow"/>
                <w:b/>
                <w:bCs/>
              </w:rPr>
              <w:t>Statistic</w:t>
            </w:r>
          </w:p>
        </w:tc>
        <w:tc>
          <w:tcPr>
            <w:tcW w:w="3595" w:type="dxa"/>
          </w:tcPr>
          <w:p w14:paraId="5E09707A" w14:textId="4CC7438C" w:rsidR="00F567F9" w:rsidRPr="0070522D" w:rsidRDefault="00C6637B">
            <w:pPr>
              <w:pStyle w:val="BodyText"/>
              <w:ind w:firstLine="0"/>
              <w:rPr>
                <w:rFonts w:ascii="Arial Narrow" w:hAnsi="Arial Narrow"/>
                <w:b/>
                <w:bCs/>
              </w:rPr>
            </w:pPr>
            <w:r>
              <w:rPr>
                <w:rFonts w:ascii="Arial Narrow" w:hAnsi="Arial Narrow"/>
                <w:b/>
                <w:bCs/>
              </w:rPr>
              <w:t>P</w:t>
            </w:r>
            <w:r w:rsidR="0070522D" w:rsidRPr="0070522D">
              <w:rPr>
                <w:rFonts w:ascii="Arial Narrow" w:hAnsi="Arial Narrow"/>
                <w:b/>
                <w:bCs/>
              </w:rPr>
              <w:t>recipitation</w:t>
            </w:r>
            <w:r w:rsidR="007A3933">
              <w:rPr>
                <w:rFonts w:ascii="Arial Narrow" w:hAnsi="Arial Narrow"/>
                <w:b/>
                <w:bCs/>
              </w:rPr>
              <w:t xml:space="preserve"> </w:t>
            </w:r>
            <w:r w:rsidR="00116282">
              <w:rPr>
                <w:rFonts w:ascii="Arial Narrow" w:hAnsi="Arial Narrow"/>
                <w:b/>
                <w:bCs/>
              </w:rPr>
              <w:t xml:space="preserve">total </w:t>
            </w:r>
            <w:r w:rsidR="007A3933">
              <w:rPr>
                <w:rFonts w:ascii="Arial Narrow" w:hAnsi="Arial Narrow"/>
                <w:b/>
                <w:bCs/>
              </w:rPr>
              <w:t>(mm)</w:t>
            </w:r>
          </w:p>
        </w:tc>
      </w:tr>
      <w:tr w:rsidR="00BD7F33" w:rsidRPr="00937742" w14:paraId="2B8A9674" w14:textId="02E60494" w:rsidTr="00B10666">
        <w:tc>
          <w:tcPr>
            <w:tcW w:w="3955" w:type="dxa"/>
          </w:tcPr>
          <w:p w14:paraId="6AD29427" w14:textId="66EADF7B" w:rsidR="00BD7F33" w:rsidRPr="0070522D" w:rsidRDefault="00E97A95">
            <w:pPr>
              <w:pStyle w:val="BodyText"/>
              <w:ind w:firstLine="0"/>
              <w:rPr>
                <w:rFonts w:ascii="Arial Narrow" w:hAnsi="Arial Narrow"/>
              </w:rPr>
            </w:pPr>
            <w:r>
              <w:rPr>
                <w:rFonts w:ascii="Arial Narrow" w:hAnsi="Arial Narrow"/>
              </w:rPr>
              <w:t>Mean</w:t>
            </w:r>
            <w:r w:rsidR="00BD7F33" w:rsidRPr="00937742">
              <w:rPr>
                <w:rFonts w:ascii="Arial Narrow" w:hAnsi="Arial Narrow"/>
              </w:rPr>
              <w:t xml:space="preserve"> annual</w:t>
            </w:r>
          </w:p>
        </w:tc>
        <w:tc>
          <w:tcPr>
            <w:tcW w:w="3595" w:type="dxa"/>
          </w:tcPr>
          <w:p w14:paraId="4D4A5A43" w14:textId="30DB1E1C" w:rsidR="00BD7F33" w:rsidRPr="0070522D" w:rsidRDefault="00BD7F33">
            <w:pPr>
              <w:pStyle w:val="BodyText"/>
              <w:ind w:firstLine="0"/>
              <w:rPr>
                <w:rFonts w:ascii="Arial Narrow" w:hAnsi="Arial Narrow"/>
              </w:rPr>
            </w:pPr>
            <w:r w:rsidRPr="00937742">
              <w:rPr>
                <w:rFonts w:ascii="Arial Narrow" w:hAnsi="Arial Narrow"/>
              </w:rPr>
              <w:t>4063</w:t>
            </w:r>
            <w:r w:rsidR="005D282C" w:rsidRPr="0070522D">
              <w:rPr>
                <w:rFonts w:ascii="Arial Narrow" w:hAnsi="Arial Narrow"/>
              </w:rPr>
              <w:t xml:space="preserve"> </w:t>
            </w:r>
          </w:p>
        </w:tc>
      </w:tr>
      <w:tr w:rsidR="00BD7F33" w:rsidRPr="00937742" w14:paraId="5941C91A" w14:textId="75BECBB1" w:rsidTr="00B10666">
        <w:tc>
          <w:tcPr>
            <w:tcW w:w="3955" w:type="dxa"/>
          </w:tcPr>
          <w:p w14:paraId="7EBAA466" w14:textId="3A74F6FC" w:rsidR="00BD7F33" w:rsidRPr="0070522D" w:rsidRDefault="00D07A56">
            <w:pPr>
              <w:pStyle w:val="BodyText"/>
              <w:ind w:firstLine="0"/>
              <w:rPr>
                <w:rFonts w:ascii="Arial Narrow" w:hAnsi="Arial Narrow"/>
              </w:rPr>
            </w:pPr>
            <w:r>
              <w:rPr>
                <w:rFonts w:ascii="Arial Narrow" w:hAnsi="Arial Narrow"/>
              </w:rPr>
              <w:t>M</w:t>
            </w:r>
            <w:r w:rsidR="00BD7F33" w:rsidRPr="00937742">
              <w:rPr>
                <w:rFonts w:ascii="Arial Narrow" w:hAnsi="Arial Narrow"/>
              </w:rPr>
              <w:t>ean monthly</w:t>
            </w:r>
            <w:r w:rsidR="000674FA">
              <w:rPr>
                <w:rFonts w:ascii="Arial Narrow" w:hAnsi="Arial Narrow"/>
              </w:rPr>
              <w:t xml:space="preserve"> mean</w:t>
            </w:r>
          </w:p>
        </w:tc>
        <w:tc>
          <w:tcPr>
            <w:tcW w:w="3595" w:type="dxa"/>
          </w:tcPr>
          <w:p w14:paraId="33993279" w14:textId="3433E894" w:rsidR="00BD7F33" w:rsidRPr="0070522D" w:rsidRDefault="00BD7F33">
            <w:pPr>
              <w:pStyle w:val="BodyText"/>
              <w:ind w:firstLine="0"/>
              <w:rPr>
                <w:rFonts w:ascii="Arial Narrow" w:hAnsi="Arial Narrow"/>
              </w:rPr>
            </w:pPr>
            <w:r w:rsidRPr="00937742">
              <w:rPr>
                <w:rFonts w:ascii="Arial Narrow" w:hAnsi="Arial Narrow"/>
              </w:rPr>
              <w:t>339</w:t>
            </w:r>
            <w:r w:rsidR="005D282C" w:rsidRPr="0070522D">
              <w:rPr>
                <w:rFonts w:ascii="Arial Narrow" w:hAnsi="Arial Narrow"/>
              </w:rPr>
              <w:t xml:space="preserve"> </w:t>
            </w:r>
          </w:p>
        </w:tc>
      </w:tr>
      <w:tr w:rsidR="00BD7F33" w:rsidRPr="00937742" w14:paraId="092B7ADA" w14:textId="145A3583" w:rsidTr="00B10666">
        <w:tc>
          <w:tcPr>
            <w:tcW w:w="3955" w:type="dxa"/>
          </w:tcPr>
          <w:p w14:paraId="4BCCC196" w14:textId="1E2D166F" w:rsidR="00BD7F33" w:rsidRPr="0070522D" w:rsidRDefault="00E7286D">
            <w:pPr>
              <w:pStyle w:val="BodyText"/>
              <w:ind w:firstLine="0"/>
              <w:rPr>
                <w:rFonts w:ascii="Arial Narrow" w:hAnsi="Arial Narrow"/>
              </w:rPr>
            </w:pPr>
            <w:r>
              <w:rPr>
                <w:rFonts w:ascii="Arial Narrow" w:hAnsi="Arial Narrow"/>
              </w:rPr>
              <w:t>Mean</w:t>
            </w:r>
            <w:r w:rsidR="00BD7F33" w:rsidRPr="00937742" w:rsidDel="00D07A56">
              <w:rPr>
                <w:rFonts w:ascii="Arial Narrow" w:hAnsi="Arial Narrow"/>
              </w:rPr>
              <w:t xml:space="preserve"> </w:t>
            </w:r>
            <w:r w:rsidR="00BD7F33" w:rsidRPr="00937742">
              <w:rPr>
                <w:rFonts w:ascii="Arial Narrow" w:hAnsi="Arial Narrow"/>
              </w:rPr>
              <w:t>monthly</w:t>
            </w:r>
            <w:r w:rsidR="000674FA">
              <w:rPr>
                <w:rFonts w:ascii="Arial Narrow" w:hAnsi="Arial Narrow"/>
              </w:rPr>
              <w:t xml:space="preserve"> minimum</w:t>
            </w:r>
          </w:p>
        </w:tc>
        <w:tc>
          <w:tcPr>
            <w:tcW w:w="3595" w:type="dxa"/>
          </w:tcPr>
          <w:p w14:paraId="63C39491" w14:textId="42C260B0" w:rsidR="00BD7F33" w:rsidRPr="0070522D" w:rsidRDefault="00BD7F33">
            <w:pPr>
              <w:pStyle w:val="BodyText"/>
              <w:ind w:firstLine="0"/>
              <w:rPr>
                <w:rFonts w:ascii="Arial Narrow" w:hAnsi="Arial Narrow"/>
              </w:rPr>
            </w:pPr>
            <w:r w:rsidRPr="00937742">
              <w:rPr>
                <w:rFonts w:ascii="Arial Narrow" w:hAnsi="Arial Narrow"/>
              </w:rPr>
              <w:t>120</w:t>
            </w:r>
            <w:r w:rsidR="005D282C" w:rsidRPr="0070522D">
              <w:rPr>
                <w:rFonts w:ascii="Arial Narrow" w:hAnsi="Arial Narrow"/>
              </w:rPr>
              <w:t xml:space="preserve"> </w:t>
            </w:r>
          </w:p>
        </w:tc>
      </w:tr>
      <w:tr w:rsidR="00BD7F33" w:rsidRPr="00937742" w14:paraId="07F5D1BB" w14:textId="50492DE0" w:rsidTr="00B10666">
        <w:tc>
          <w:tcPr>
            <w:tcW w:w="3955" w:type="dxa"/>
          </w:tcPr>
          <w:p w14:paraId="6414AB20" w14:textId="34A5D594" w:rsidR="00BD7F33" w:rsidRPr="0070522D" w:rsidRDefault="00E7286D">
            <w:pPr>
              <w:pStyle w:val="BodyText"/>
              <w:ind w:firstLine="0"/>
              <w:rPr>
                <w:rFonts w:ascii="Arial Narrow" w:hAnsi="Arial Narrow"/>
              </w:rPr>
            </w:pPr>
            <w:r>
              <w:rPr>
                <w:rFonts w:ascii="Arial Narrow" w:hAnsi="Arial Narrow"/>
              </w:rPr>
              <w:t>Mean</w:t>
            </w:r>
            <w:r w:rsidR="00D07A56">
              <w:rPr>
                <w:rFonts w:ascii="Arial Narrow" w:hAnsi="Arial Narrow"/>
              </w:rPr>
              <w:t xml:space="preserve"> </w:t>
            </w:r>
            <w:r w:rsidR="00BD7F33" w:rsidRPr="00937742">
              <w:rPr>
                <w:rFonts w:ascii="Arial Narrow" w:hAnsi="Arial Narrow"/>
              </w:rPr>
              <w:t>monthly</w:t>
            </w:r>
            <w:r w:rsidR="003C0BB9">
              <w:rPr>
                <w:rFonts w:ascii="Arial Narrow" w:hAnsi="Arial Narrow"/>
              </w:rPr>
              <w:t xml:space="preserve"> maxi</w:t>
            </w:r>
            <w:r w:rsidR="00D07A56">
              <w:rPr>
                <w:rFonts w:ascii="Arial Narrow" w:hAnsi="Arial Narrow"/>
              </w:rPr>
              <w:t>mum</w:t>
            </w:r>
          </w:p>
        </w:tc>
        <w:tc>
          <w:tcPr>
            <w:tcW w:w="3595" w:type="dxa"/>
          </w:tcPr>
          <w:p w14:paraId="2271D633" w14:textId="58FF599E" w:rsidR="00BD7F33" w:rsidRPr="0070522D" w:rsidRDefault="00BD7F33">
            <w:pPr>
              <w:pStyle w:val="BodyText"/>
              <w:ind w:firstLine="0"/>
              <w:rPr>
                <w:rFonts w:ascii="Arial Narrow" w:hAnsi="Arial Narrow"/>
              </w:rPr>
            </w:pPr>
            <w:r w:rsidRPr="00937742">
              <w:rPr>
                <w:rFonts w:ascii="Arial Narrow" w:hAnsi="Arial Narrow"/>
              </w:rPr>
              <w:t>520</w:t>
            </w:r>
            <w:r w:rsidR="005D282C" w:rsidRPr="0070522D">
              <w:rPr>
                <w:rFonts w:ascii="Arial Narrow" w:hAnsi="Arial Narrow"/>
              </w:rPr>
              <w:t xml:space="preserve"> </w:t>
            </w:r>
          </w:p>
        </w:tc>
      </w:tr>
    </w:tbl>
    <w:p w14:paraId="334EED26" w14:textId="77777777" w:rsidR="00B3147F" w:rsidRDefault="00B3147F" w:rsidP="005E0F93">
      <w:pPr>
        <w:pStyle w:val="BodyText"/>
        <w:ind w:firstLine="0"/>
      </w:pPr>
    </w:p>
    <w:p w14:paraId="71E06F87" w14:textId="0BEE1594" w:rsidR="002E19A4" w:rsidRDefault="00790D2B" w:rsidP="005E0F93">
      <w:pPr>
        <w:pStyle w:val="BodyText"/>
        <w:ind w:firstLine="0"/>
      </w:pPr>
      <w:r>
        <w:t>Kosrae receives substantial precipitation throughout the year, with monthly rainfall totals typically ranging from roughly 300 to more than 600 millimeters, reflecting the island’s persistently wet tropical climate</w:t>
      </w:r>
      <w:r w:rsidR="00260257">
        <w:t xml:space="preserve"> (</w:t>
      </w:r>
      <w:r w:rsidR="00884632">
        <w:t>Leeling, 1996</w:t>
      </w:r>
      <w:r w:rsidR="00260257">
        <w:t>)</w:t>
      </w:r>
      <w:r>
        <w:t xml:space="preserve">. Although rainfall occurs in all seasons, a distinct pattern is evident, with enhanced precipitation commonly observed during April through July and again during November and December. Several months exceed 700 </w:t>
      </w:r>
      <w:r w:rsidR="00536FF1">
        <w:t>mm</w:t>
      </w:r>
      <w:r w:rsidR="00D65E47">
        <w:t xml:space="preserve">, such as </w:t>
      </w:r>
      <w:r>
        <w:t>April 2019 (746 m</w:t>
      </w:r>
      <w:r w:rsidR="00D65E47">
        <w:t>m</w:t>
      </w:r>
      <w:r>
        <w:t>) and May 2021 (</w:t>
      </w:r>
      <w:r w:rsidR="007A04DE">
        <w:t>8</w:t>
      </w:r>
      <w:r>
        <w:t>49 m</w:t>
      </w:r>
      <w:r w:rsidR="007A04DE">
        <w:t>m</w:t>
      </w:r>
      <w:r>
        <w:t>)</w:t>
      </w:r>
      <w:r w:rsidR="007A04DE">
        <w:t xml:space="preserve">, </w:t>
      </w:r>
      <w:r>
        <w:t>and an exceptional maximum of more than 1,000 m</w:t>
      </w:r>
      <w:r w:rsidR="007A04DE">
        <w:t>m</w:t>
      </w:r>
      <w:r>
        <w:t xml:space="preserve"> occurred in December 2001, indicating the potential for intense, short‑duration wet seasons. Despite generally high year‑round rainfall</w:t>
      </w:r>
      <w:r w:rsidR="00F10C0C">
        <w:t>,</w:t>
      </w:r>
      <w:r>
        <w:t xml:space="preserve"> occasional short dry spells </w:t>
      </w:r>
      <w:r w:rsidR="3B48523C">
        <w:t xml:space="preserve">are </w:t>
      </w:r>
      <w:r>
        <w:t>linked to regional climate variability; for example, February 2010 recorded only about 23 m</w:t>
      </w:r>
      <w:r w:rsidR="00E8754D">
        <w:t>m</w:t>
      </w:r>
      <w:r>
        <w:t xml:space="preserve"> of precipitation, representing one of the driest months. </w:t>
      </w:r>
    </w:p>
    <w:p w14:paraId="3D12BFAC" w14:textId="6597F0F4" w:rsidR="005E0F93" w:rsidRDefault="005E0F93" w:rsidP="005E0F93">
      <w:pPr>
        <w:pStyle w:val="BodyText"/>
        <w:ind w:firstLine="0"/>
      </w:pPr>
    </w:p>
    <w:p w14:paraId="409DD1B0" w14:textId="583C5C05" w:rsidR="009356B0" w:rsidRDefault="009356B0" w:rsidP="005E0F93">
      <w:pPr>
        <w:pStyle w:val="BodyText"/>
        <w:ind w:firstLine="0"/>
      </w:pPr>
      <w:r>
        <w:rPr>
          <w:noProof/>
        </w:rPr>
        <w:drawing>
          <wp:inline distT="0" distB="0" distL="0" distR="0" wp14:anchorId="1EA31DDC" wp14:editId="2692B024">
            <wp:extent cx="5943600" cy="3077210"/>
            <wp:effectExtent l="0" t="0" r="0" b="8890"/>
            <wp:docPr id="682343917" name="Chart 1">
              <a:extLst xmlns:a="http://schemas.openxmlformats.org/drawingml/2006/main">
                <a:ext uri="{FF2B5EF4-FFF2-40B4-BE49-F238E27FC236}">
                  <a16:creationId xmlns:a16="http://schemas.microsoft.com/office/drawing/2014/main" id="{A450F0BA-6A0C-A5C4-4A08-B3696245459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p w14:paraId="37915114" w14:textId="03A32027" w:rsidR="00162AAC" w:rsidRPr="0027519D" w:rsidRDefault="0027519D" w:rsidP="0027519D">
      <w:pPr>
        <w:pStyle w:val="Caption"/>
        <w:rPr>
          <w:rFonts w:ascii="Arial Narrow" w:hAnsi="Arial Narrow"/>
        </w:rPr>
      </w:pPr>
      <w:bookmarkStart w:id="48" w:name="_Ref226899780"/>
      <w:bookmarkStart w:id="49" w:name="_Ref226899766"/>
      <w:bookmarkStart w:id="50" w:name="_Toc227410276"/>
      <w:r w:rsidRPr="0027519D">
        <w:rPr>
          <w:rFonts w:ascii="Arial Narrow" w:hAnsi="Arial Narrow"/>
        </w:rPr>
        <w:t xml:space="preserve">Figure </w:t>
      </w:r>
      <w:r w:rsidRPr="0027519D">
        <w:rPr>
          <w:rFonts w:ascii="Arial Narrow" w:hAnsi="Arial Narrow"/>
        </w:rPr>
        <w:fldChar w:fldCharType="begin"/>
      </w:r>
      <w:r w:rsidRPr="0027519D">
        <w:rPr>
          <w:rFonts w:ascii="Arial Narrow" w:hAnsi="Arial Narrow"/>
        </w:rPr>
        <w:instrText xml:space="preserve"> SEQ Figure \* ARABIC </w:instrText>
      </w:r>
      <w:r w:rsidRPr="0027519D">
        <w:rPr>
          <w:rFonts w:ascii="Arial Narrow" w:hAnsi="Arial Narrow"/>
        </w:rPr>
        <w:fldChar w:fldCharType="separate"/>
      </w:r>
      <w:r w:rsidR="00244816">
        <w:rPr>
          <w:rFonts w:ascii="Arial Narrow" w:hAnsi="Arial Narrow"/>
          <w:noProof/>
        </w:rPr>
        <w:t>4</w:t>
      </w:r>
      <w:r w:rsidRPr="0027519D">
        <w:rPr>
          <w:rFonts w:ascii="Arial Narrow" w:hAnsi="Arial Narrow"/>
        </w:rPr>
        <w:fldChar w:fldCharType="end"/>
      </w:r>
      <w:bookmarkEnd w:id="48"/>
      <w:r w:rsidRPr="0027519D">
        <w:rPr>
          <w:rFonts w:ascii="Arial Narrow" w:hAnsi="Arial Narrow"/>
        </w:rPr>
        <w:t>. Monthly precipitation</w:t>
      </w:r>
      <w:r w:rsidR="00A05F35">
        <w:rPr>
          <w:rFonts w:ascii="Arial Narrow" w:hAnsi="Arial Narrow"/>
        </w:rPr>
        <w:t xml:space="preserve"> (P)</w:t>
      </w:r>
      <w:r w:rsidRPr="0027519D">
        <w:rPr>
          <w:rFonts w:ascii="Arial Narrow" w:hAnsi="Arial Narrow"/>
        </w:rPr>
        <w:t xml:space="preserve"> for </w:t>
      </w:r>
      <w:r w:rsidR="002538B8">
        <w:rPr>
          <w:rFonts w:ascii="Arial Narrow" w:hAnsi="Arial Narrow"/>
        </w:rPr>
        <w:t>Kosra</w:t>
      </w:r>
      <w:r w:rsidR="0012360A">
        <w:rPr>
          <w:rFonts w:ascii="Arial Narrow" w:hAnsi="Arial Narrow"/>
        </w:rPr>
        <w:t>e</w:t>
      </w:r>
      <w:r w:rsidR="002538B8">
        <w:rPr>
          <w:rFonts w:ascii="Arial Narrow" w:hAnsi="Arial Narrow"/>
        </w:rPr>
        <w:t xml:space="preserve"> (</w:t>
      </w:r>
      <w:r w:rsidRPr="0027519D">
        <w:rPr>
          <w:rFonts w:ascii="Arial Narrow" w:hAnsi="Arial Narrow"/>
        </w:rPr>
        <w:t xml:space="preserve">1998 </w:t>
      </w:r>
      <w:r w:rsidR="002538B8">
        <w:rPr>
          <w:rFonts w:ascii="Arial Narrow" w:hAnsi="Arial Narrow"/>
        </w:rPr>
        <w:t>–</w:t>
      </w:r>
      <w:r w:rsidRPr="0027519D">
        <w:rPr>
          <w:rFonts w:ascii="Arial Narrow" w:hAnsi="Arial Narrow"/>
        </w:rPr>
        <w:t xml:space="preserve"> 2025</w:t>
      </w:r>
      <w:r w:rsidR="002538B8">
        <w:rPr>
          <w:rFonts w:ascii="Arial Narrow" w:hAnsi="Arial Narrow"/>
        </w:rPr>
        <w:t>)</w:t>
      </w:r>
      <w:r w:rsidR="009D0853">
        <w:rPr>
          <w:rFonts w:ascii="Arial Narrow" w:hAnsi="Arial Narrow"/>
        </w:rPr>
        <w:t xml:space="preserve"> from IMERG</w:t>
      </w:r>
      <w:r w:rsidRPr="0027519D">
        <w:rPr>
          <w:rFonts w:ascii="Arial Narrow" w:hAnsi="Arial Narrow"/>
        </w:rPr>
        <w:t>.</w:t>
      </w:r>
      <w:bookmarkEnd w:id="49"/>
      <w:bookmarkEnd w:id="50"/>
    </w:p>
    <w:p w14:paraId="66EE8690" w14:textId="4864BA10" w:rsidR="00716FFB" w:rsidRPr="009F43CC" w:rsidRDefault="00716FFB" w:rsidP="005E0F93">
      <w:pPr>
        <w:pStyle w:val="BodyText"/>
        <w:ind w:firstLine="0"/>
        <w:rPr>
          <w:rFonts w:ascii="Arial Narrow" w:hAnsi="Arial Narrow"/>
        </w:rPr>
      </w:pPr>
      <w:r>
        <w:rPr>
          <w:rFonts w:ascii="Arial Narrow" w:hAnsi="Arial Narrow"/>
        </w:rPr>
        <w:tab/>
        <w:t>Alt. text. Line graph showing</w:t>
      </w:r>
      <w:r w:rsidR="00C34B28">
        <w:rPr>
          <w:rFonts w:ascii="Arial Narrow" w:hAnsi="Arial Narrow"/>
        </w:rPr>
        <w:t xml:space="preserve"> the m</w:t>
      </w:r>
      <w:r w:rsidRPr="009F43CC">
        <w:rPr>
          <w:rFonts w:ascii="Arial Narrow" w:hAnsi="Arial Narrow"/>
        </w:rPr>
        <w:t>onthly precipitation for years 1998 - 2025 in mm.</w:t>
      </w:r>
    </w:p>
    <w:p w14:paraId="19CB118F" w14:textId="7B54B42C" w:rsidR="009A56FF" w:rsidRDefault="0023405F" w:rsidP="00322463">
      <w:pPr>
        <w:pStyle w:val="BodyText"/>
      </w:pPr>
      <w:r w:rsidRPr="0023405F">
        <w:t>Annual precipitation totals var</w:t>
      </w:r>
      <w:r w:rsidR="00C34B28">
        <w:t>y</w:t>
      </w:r>
      <w:r w:rsidRPr="0023405F">
        <w:t xml:space="preserve"> substantially throughout the period of record, with the highest annual value occurring in 2021 at approximately 5,683 mm, followed by several other notably wet years including 2020 (5,061 mm), 2022 (5,341 mm), 2023 (4,768 mm), and 2024 (4,442 mm), whereas the lowest recent annual total was recorded in 2016 at 3,259 mm</w:t>
      </w:r>
      <w:r w:rsidR="00322463">
        <w:t xml:space="preserve"> (</w:t>
      </w:r>
      <w:r w:rsidR="00BF71F2">
        <w:fldChar w:fldCharType="begin"/>
      </w:r>
      <w:r w:rsidR="00BF71F2">
        <w:instrText xml:space="preserve"> REF _Ref226899801 \h </w:instrText>
      </w:r>
      <w:r w:rsidR="00BF71F2">
        <w:fldChar w:fldCharType="separate"/>
      </w:r>
      <w:r w:rsidR="00244816" w:rsidRPr="0027519D">
        <w:rPr>
          <w:rFonts w:ascii="Arial Narrow" w:hAnsi="Arial Narrow"/>
        </w:rPr>
        <w:t xml:space="preserve">Figure </w:t>
      </w:r>
      <w:r w:rsidR="00244816">
        <w:rPr>
          <w:rFonts w:ascii="Arial Narrow" w:hAnsi="Arial Narrow"/>
          <w:noProof/>
        </w:rPr>
        <w:t>5</w:t>
      </w:r>
      <w:r w:rsidR="00BF71F2">
        <w:fldChar w:fldCharType="end"/>
      </w:r>
      <w:r w:rsidR="00322463">
        <w:t>)</w:t>
      </w:r>
      <w:r w:rsidRPr="0023405F">
        <w:t xml:space="preserve">. </w:t>
      </w:r>
      <w:r w:rsidR="00695FD8" w:rsidRPr="00695FD8">
        <w:t xml:space="preserve">The island has experienced several very wet years recently (2020–2022) relative to the 1998–2024 </w:t>
      </w:r>
      <w:r w:rsidR="007B7EBF">
        <w:t>mean</w:t>
      </w:r>
      <w:r w:rsidR="004B1283">
        <w:t xml:space="preserve">. </w:t>
      </w:r>
      <w:r w:rsidR="004B1283" w:rsidRPr="004B1283">
        <w:t>The last five</w:t>
      </w:r>
      <w:r w:rsidR="00A847D9">
        <w:t xml:space="preserve"> </w:t>
      </w:r>
      <w:r w:rsidR="004B1283" w:rsidRPr="004B1283">
        <w:t xml:space="preserve">years (2020–2024) average ≈5,059 mm/yr, which is ~24–25% wetter than the long‑term mean </w:t>
      </w:r>
      <w:r w:rsidR="00A847D9">
        <w:t xml:space="preserve">of </w:t>
      </w:r>
      <w:r w:rsidR="004B1283" w:rsidRPr="004B1283">
        <w:t>4,063 mm/yr.</w:t>
      </w:r>
      <w:r w:rsidR="00322463">
        <w:t xml:space="preserve"> </w:t>
      </w:r>
    </w:p>
    <w:p w14:paraId="1E6D5BC4" w14:textId="1103A679" w:rsidR="009A56FF" w:rsidRDefault="009A56FF" w:rsidP="009A56FF">
      <w:pPr>
        <w:pStyle w:val="BodyText"/>
        <w:ind w:firstLine="0"/>
      </w:pPr>
    </w:p>
    <w:p w14:paraId="493E3906" w14:textId="1AE22F5F" w:rsidR="009356B0" w:rsidRDefault="00D605FD" w:rsidP="009A56FF">
      <w:pPr>
        <w:pStyle w:val="BodyText"/>
        <w:ind w:firstLine="0"/>
      </w:pPr>
      <w:r>
        <w:rPr>
          <w:noProof/>
        </w:rPr>
        <w:drawing>
          <wp:inline distT="0" distB="0" distL="0" distR="0" wp14:anchorId="72400C80" wp14:editId="7572E9FC">
            <wp:extent cx="6175169" cy="2269490"/>
            <wp:effectExtent l="0" t="0" r="0" b="0"/>
            <wp:docPr id="1593091200" name="Chart 1">
              <a:extLst xmlns:a="http://schemas.openxmlformats.org/drawingml/2006/main">
                <a:ext uri="{FF2B5EF4-FFF2-40B4-BE49-F238E27FC236}">
                  <a16:creationId xmlns:a16="http://schemas.microsoft.com/office/drawing/2014/main" id="{A13719E3-1BC5-0751-E1AA-DD30D9C577D6}"/>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14:paraId="6466263F" w14:textId="5EB94EDB" w:rsidR="009A56FF" w:rsidRPr="0027519D" w:rsidRDefault="0027519D" w:rsidP="0027519D">
      <w:pPr>
        <w:pStyle w:val="Caption"/>
        <w:rPr>
          <w:rFonts w:ascii="Arial Narrow" w:hAnsi="Arial Narrow"/>
        </w:rPr>
      </w:pPr>
      <w:bookmarkStart w:id="51" w:name="_Ref226899801"/>
      <w:bookmarkStart w:id="52" w:name="_Toc227410277"/>
      <w:r w:rsidRPr="0027519D">
        <w:rPr>
          <w:rFonts w:ascii="Arial Narrow" w:hAnsi="Arial Narrow"/>
        </w:rPr>
        <w:t xml:space="preserve">Figure </w:t>
      </w:r>
      <w:r w:rsidRPr="0027519D">
        <w:rPr>
          <w:rFonts w:ascii="Arial Narrow" w:hAnsi="Arial Narrow"/>
        </w:rPr>
        <w:fldChar w:fldCharType="begin"/>
      </w:r>
      <w:r w:rsidRPr="0027519D">
        <w:rPr>
          <w:rFonts w:ascii="Arial Narrow" w:hAnsi="Arial Narrow"/>
        </w:rPr>
        <w:instrText xml:space="preserve"> SEQ Figure \* ARABIC </w:instrText>
      </w:r>
      <w:r w:rsidRPr="0027519D">
        <w:rPr>
          <w:rFonts w:ascii="Arial Narrow" w:hAnsi="Arial Narrow"/>
        </w:rPr>
        <w:fldChar w:fldCharType="separate"/>
      </w:r>
      <w:r w:rsidR="00244816">
        <w:rPr>
          <w:rFonts w:ascii="Arial Narrow" w:hAnsi="Arial Narrow"/>
          <w:noProof/>
        </w:rPr>
        <w:t>5</w:t>
      </w:r>
      <w:r w:rsidRPr="0027519D">
        <w:rPr>
          <w:rFonts w:ascii="Arial Narrow" w:hAnsi="Arial Narrow"/>
        </w:rPr>
        <w:fldChar w:fldCharType="end"/>
      </w:r>
      <w:bookmarkEnd w:id="51"/>
      <w:r w:rsidRPr="0027519D">
        <w:rPr>
          <w:rFonts w:ascii="Arial Narrow" w:hAnsi="Arial Narrow"/>
        </w:rPr>
        <w:t>. Annual precipitation</w:t>
      </w:r>
      <w:r w:rsidR="00731085">
        <w:rPr>
          <w:rFonts w:ascii="Arial Narrow" w:hAnsi="Arial Narrow"/>
        </w:rPr>
        <w:t xml:space="preserve"> (P)</w:t>
      </w:r>
      <w:r w:rsidRPr="0027519D">
        <w:rPr>
          <w:rFonts w:ascii="Arial Narrow" w:hAnsi="Arial Narrow"/>
        </w:rPr>
        <w:t xml:space="preserve"> for </w:t>
      </w:r>
      <w:r w:rsidR="00E322E4">
        <w:rPr>
          <w:rFonts w:ascii="Arial Narrow" w:hAnsi="Arial Narrow"/>
        </w:rPr>
        <w:t>Kosra</w:t>
      </w:r>
      <w:r w:rsidR="0012360A">
        <w:rPr>
          <w:rFonts w:ascii="Arial Narrow" w:hAnsi="Arial Narrow"/>
        </w:rPr>
        <w:t>e</w:t>
      </w:r>
      <w:r w:rsidR="00E322E4">
        <w:rPr>
          <w:rFonts w:ascii="Arial Narrow" w:hAnsi="Arial Narrow"/>
        </w:rPr>
        <w:t xml:space="preserve"> </w:t>
      </w:r>
      <w:r w:rsidR="0004198B">
        <w:rPr>
          <w:rFonts w:ascii="Arial Narrow" w:hAnsi="Arial Narrow"/>
        </w:rPr>
        <w:t>(</w:t>
      </w:r>
      <w:r w:rsidRPr="0027519D">
        <w:rPr>
          <w:rFonts w:ascii="Arial Narrow" w:hAnsi="Arial Narrow"/>
        </w:rPr>
        <w:t xml:space="preserve">1998 </w:t>
      </w:r>
      <w:r w:rsidR="00E322E4">
        <w:rPr>
          <w:rFonts w:ascii="Arial Narrow" w:hAnsi="Arial Narrow"/>
        </w:rPr>
        <w:t>–</w:t>
      </w:r>
      <w:r w:rsidRPr="0027519D">
        <w:rPr>
          <w:rFonts w:ascii="Arial Narrow" w:hAnsi="Arial Narrow"/>
        </w:rPr>
        <w:t xml:space="preserve"> 2024</w:t>
      </w:r>
      <w:r w:rsidR="00E322E4">
        <w:rPr>
          <w:rFonts w:ascii="Arial Narrow" w:hAnsi="Arial Narrow"/>
        </w:rPr>
        <w:t>) from IMERG</w:t>
      </w:r>
      <w:r w:rsidRPr="0027519D">
        <w:rPr>
          <w:rFonts w:ascii="Arial Narrow" w:hAnsi="Arial Narrow"/>
        </w:rPr>
        <w:t>.</w:t>
      </w:r>
      <w:bookmarkEnd w:id="52"/>
    </w:p>
    <w:p w14:paraId="5676B719" w14:textId="235B2A1A" w:rsidR="006B329A" w:rsidRDefault="009A56FF" w:rsidP="006B329A">
      <w:pPr>
        <w:pStyle w:val="BodyText"/>
        <w:ind w:firstLine="0"/>
      </w:pPr>
      <w:r>
        <w:rPr>
          <w:rFonts w:ascii="Arial Narrow" w:hAnsi="Arial Narrow"/>
        </w:rPr>
        <w:tab/>
        <w:t>Alt. text. Bar chart showing</w:t>
      </w:r>
      <w:r w:rsidR="001908DC">
        <w:rPr>
          <w:rFonts w:ascii="Arial Narrow" w:hAnsi="Arial Narrow"/>
        </w:rPr>
        <w:t xml:space="preserve"> </w:t>
      </w:r>
      <w:r w:rsidR="006B329A" w:rsidRPr="0027519D">
        <w:rPr>
          <w:rFonts w:ascii="Arial Narrow" w:hAnsi="Arial Narrow"/>
        </w:rPr>
        <w:t>Annual precipitation</w:t>
      </w:r>
      <w:r w:rsidR="006B329A">
        <w:rPr>
          <w:rFonts w:ascii="Arial Narrow" w:hAnsi="Arial Narrow"/>
        </w:rPr>
        <w:t xml:space="preserve"> (P)</w:t>
      </w:r>
      <w:r w:rsidR="006B329A" w:rsidRPr="0027519D">
        <w:rPr>
          <w:rFonts w:ascii="Arial Narrow" w:hAnsi="Arial Narrow"/>
        </w:rPr>
        <w:t xml:space="preserve"> for </w:t>
      </w:r>
      <w:r w:rsidR="006B329A">
        <w:rPr>
          <w:rFonts w:ascii="Arial Narrow" w:hAnsi="Arial Narrow"/>
        </w:rPr>
        <w:t>Kosrae (</w:t>
      </w:r>
      <w:r w:rsidR="006B329A" w:rsidRPr="0027519D">
        <w:rPr>
          <w:rFonts w:ascii="Arial Narrow" w:hAnsi="Arial Narrow"/>
        </w:rPr>
        <w:t xml:space="preserve">1998 </w:t>
      </w:r>
      <w:r w:rsidR="006B329A">
        <w:rPr>
          <w:rFonts w:ascii="Arial Narrow" w:hAnsi="Arial Narrow"/>
        </w:rPr>
        <w:t>–</w:t>
      </w:r>
      <w:r w:rsidR="006B329A" w:rsidRPr="0027519D">
        <w:rPr>
          <w:rFonts w:ascii="Arial Narrow" w:hAnsi="Arial Narrow"/>
        </w:rPr>
        <w:t xml:space="preserve"> 2024</w:t>
      </w:r>
      <w:r w:rsidR="006B329A">
        <w:rPr>
          <w:rFonts w:ascii="Arial Narrow" w:hAnsi="Arial Narrow"/>
        </w:rPr>
        <w:t>) from IMERG.</w:t>
      </w:r>
      <w:r w:rsidR="006B329A" w:rsidRPr="00695FD8">
        <w:t xml:space="preserve"> </w:t>
      </w:r>
    </w:p>
    <w:p w14:paraId="2CB9001A" w14:textId="2A3E8C7E" w:rsidR="00F13CF8" w:rsidRDefault="00695FD8" w:rsidP="00322463">
      <w:pPr>
        <w:pStyle w:val="BodyText"/>
      </w:pPr>
      <w:r>
        <w:t>From a water</w:t>
      </w:r>
      <w:r w:rsidR="62193C09">
        <w:t xml:space="preserve"> </w:t>
      </w:r>
      <w:r>
        <w:t>management standpoint, this pattern supports reliable surface</w:t>
      </w:r>
      <w:r w:rsidR="5D5F05B5">
        <w:t xml:space="preserve"> </w:t>
      </w:r>
      <w:r>
        <w:t>water availabilit</w:t>
      </w:r>
      <w:r w:rsidR="007E37E0">
        <w:t>y</w:t>
      </w:r>
      <w:r>
        <w:t>, but planning should still account for episodic dry months and storage</w:t>
      </w:r>
      <w:r w:rsidR="009E2E0C">
        <w:t xml:space="preserve"> or </w:t>
      </w:r>
      <w:r>
        <w:t xml:space="preserve">turbidity challenges during peak rain events. </w:t>
      </w:r>
    </w:p>
    <w:p w14:paraId="2F0FCE5D" w14:textId="0EFAF679" w:rsidR="00F37C83" w:rsidRDefault="00F37C83" w:rsidP="004836C2">
      <w:pPr>
        <w:pStyle w:val="Head3"/>
      </w:pPr>
      <w:bookmarkStart w:id="53" w:name="_Toc228288434"/>
      <w:r w:rsidRPr="004836C2">
        <w:t>Evapotranspiration</w:t>
      </w:r>
      <w:bookmarkEnd w:id="53"/>
    </w:p>
    <w:p w14:paraId="7E381513" w14:textId="75108B63" w:rsidR="00EC3306" w:rsidRPr="00056EE4" w:rsidRDefault="00BA0576" w:rsidP="00056EE4">
      <w:pPr>
        <w:pStyle w:val="BodyText"/>
        <w:rPr>
          <w:highlight w:val="yellow"/>
        </w:rPr>
      </w:pPr>
      <w:r w:rsidRPr="00BA0576">
        <w:t xml:space="preserve">Because precipitation provides the dominant water input to Kosrae’s hydrologic system, understanding how much of this water is subsequently lost to the atmosphere is essential for evaluating freshwater availability. </w:t>
      </w:r>
      <w:r w:rsidR="008E7B91" w:rsidRPr="008E7B91">
        <w:t>Evapotranspiration (ET) is the combined water loss to the atmosphere from evaporation (soil, water, and surfaces) and transpiration (</w:t>
      </w:r>
      <w:r w:rsidR="008E7B91" w:rsidRPr="004C083B">
        <w:t>plants)</w:t>
      </w:r>
      <w:r w:rsidR="00EC7A58" w:rsidRPr="004C083B">
        <w:t xml:space="preserve"> (</w:t>
      </w:r>
      <w:r w:rsidR="004C083B" w:rsidRPr="004C083B">
        <w:t>DeJonge and others, 2025</w:t>
      </w:r>
      <w:r w:rsidR="00EC7A58" w:rsidRPr="004C083B">
        <w:t>)</w:t>
      </w:r>
      <w:r w:rsidR="008E7B91" w:rsidRPr="004C083B">
        <w:t>. It reflects the interaction of available energy, humidity, wind, and ve</w:t>
      </w:r>
      <w:r w:rsidR="008E7B91" w:rsidRPr="008E7B91">
        <w:t>getation conditions.</w:t>
      </w:r>
      <w:r w:rsidR="008E7B91">
        <w:t xml:space="preserve"> </w:t>
      </w:r>
      <w:r w:rsidR="00EC3306" w:rsidRPr="00EC3306">
        <w:t>Actual ET</w:t>
      </w:r>
      <w:r w:rsidR="00731085">
        <w:t xml:space="preserve"> (ETa)</w:t>
      </w:r>
      <w:r w:rsidR="00EC3306" w:rsidRPr="00EC3306">
        <w:t xml:space="preserve">, as estimated </w:t>
      </w:r>
      <w:r w:rsidR="00EC3306" w:rsidRPr="00056EE4">
        <w:t>by the SSEBop model</w:t>
      </w:r>
      <w:r w:rsidR="001E5FFB" w:rsidRPr="00056EE4">
        <w:t xml:space="preserve"> (</w:t>
      </w:r>
      <w:r w:rsidR="00097757" w:rsidRPr="00056EE4">
        <w:t>Senay and others, 2020</w:t>
      </w:r>
      <w:r w:rsidR="00056EE4" w:rsidRPr="00056EE4">
        <w:t>)</w:t>
      </w:r>
      <w:r w:rsidR="00EC3306" w:rsidRPr="00056EE4">
        <w:t>, represents</w:t>
      </w:r>
      <w:r w:rsidR="00EC3306" w:rsidRPr="00EC3306">
        <w:t xml:space="preserve"> the portion of potential ET that </w:t>
      </w:r>
      <w:r w:rsidR="00BF71F2" w:rsidRPr="00EC3306">
        <w:t>occurs</w:t>
      </w:r>
      <w:r w:rsidR="00EC3306" w:rsidRPr="00EC3306">
        <w:t xml:space="preserve"> given surface and atmospheric conditions.</w:t>
      </w:r>
    </w:p>
    <w:p w14:paraId="6B3789E4" w14:textId="3A09D9CB" w:rsidR="007D389A" w:rsidRPr="00F678B7" w:rsidRDefault="00837300" w:rsidP="00F678B7">
      <w:pPr>
        <w:pStyle w:val="BodyText"/>
      </w:pPr>
      <w:r>
        <w:t xml:space="preserve"> In Kosrae the ET </w:t>
      </w:r>
      <w:r w:rsidR="00CF13B1">
        <w:t>ex</w:t>
      </w:r>
      <w:r w:rsidR="004A336B">
        <w:t>hibits modest variability compared to precipitation (</w:t>
      </w:r>
      <w:r>
        <w:fldChar w:fldCharType="begin"/>
      </w:r>
      <w:r>
        <w:instrText xml:space="preserve"> REF _Ref226899829 \h </w:instrText>
      </w:r>
      <w:r>
        <w:fldChar w:fldCharType="separate"/>
      </w:r>
      <w:r w:rsidR="00244816" w:rsidRPr="5D4249CE">
        <w:rPr>
          <w:rFonts w:ascii="Arial Narrow" w:hAnsi="Arial Narrow"/>
        </w:rPr>
        <w:t xml:space="preserve">Figure </w:t>
      </w:r>
      <w:r w:rsidR="00244816" w:rsidRPr="5D4249CE">
        <w:rPr>
          <w:rFonts w:ascii="Arial Narrow" w:hAnsi="Arial Narrow"/>
          <w:noProof/>
        </w:rPr>
        <w:t>6</w:t>
      </w:r>
      <w:r>
        <w:fldChar w:fldCharType="end"/>
      </w:r>
      <w:r w:rsidR="004A336B">
        <w:t xml:space="preserve">). </w:t>
      </w:r>
      <w:r w:rsidR="00B9657E">
        <w:t xml:space="preserve">The </w:t>
      </w:r>
      <w:r w:rsidR="00051697">
        <w:t xml:space="preserve">mean </w:t>
      </w:r>
      <w:r w:rsidR="00B9657E">
        <w:t xml:space="preserve">monthly precipitation pattern is strongly seasonal, with enhanced rainfall during April through July and again in November and December, </w:t>
      </w:r>
      <w:r w:rsidR="00B8152A">
        <w:t>reaching its highest amount in April with 423 mm.</w:t>
      </w:r>
      <w:r w:rsidR="00D279B9">
        <w:t xml:space="preserve"> In contrast,</w:t>
      </w:r>
      <w:r w:rsidR="00991F97">
        <w:t xml:space="preserve"> the</w:t>
      </w:r>
      <w:r w:rsidR="00D279B9">
        <w:t xml:space="preserve"> </w:t>
      </w:r>
      <w:r w:rsidR="00B07D5B">
        <w:t xml:space="preserve">mean </w:t>
      </w:r>
      <w:r w:rsidR="00F41A87">
        <w:t>monthly</w:t>
      </w:r>
      <w:r w:rsidR="00D279B9">
        <w:t xml:space="preserve"> actual ET remains </w:t>
      </w:r>
      <w:r w:rsidR="00991F97">
        <w:t>rather stable</w:t>
      </w:r>
      <w:r w:rsidR="002D05CE">
        <w:t xml:space="preserve"> throughout the year</w:t>
      </w:r>
      <w:r w:rsidR="00D275E0">
        <w:t xml:space="preserve">, reaching its lowest in </w:t>
      </w:r>
      <w:r w:rsidR="00D97D3F">
        <w:t>January</w:t>
      </w:r>
      <w:r w:rsidR="00D275E0">
        <w:t xml:space="preserve"> (90 mm) and its highest in October </w:t>
      </w:r>
      <w:r w:rsidR="00562D52">
        <w:t>(</w:t>
      </w:r>
      <w:r w:rsidR="005929C8">
        <w:t>108 mm)</w:t>
      </w:r>
      <w:r w:rsidR="002B3EF7">
        <w:t>, a difference of less than 20 mm across the year</w:t>
      </w:r>
      <w:r w:rsidR="005929C8">
        <w:t>.</w:t>
      </w:r>
      <w:r w:rsidR="007D389A">
        <w:t xml:space="preserve"> The relatively narrow range of monthly ET values reflects Kosrae’s energy</w:t>
      </w:r>
      <w:r w:rsidR="6E183277">
        <w:t xml:space="preserve"> </w:t>
      </w:r>
      <w:r w:rsidR="007D389A">
        <w:t>limited environment, where persistent cloud cover and high humidity constrain evaporative demand despite abundant rainfall. Thus, while precipitation varies widely from month to month, actual ET remains comparatively stable.</w:t>
      </w:r>
    </w:p>
    <w:p w14:paraId="33F16E09" w14:textId="77777777" w:rsidR="003D1B9D" w:rsidRDefault="003D1B9D" w:rsidP="00687C34">
      <w:pPr>
        <w:pStyle w:val="Caption"/>
        <w:rPr>
          <w:rFonts w:ascii="Arial Narrow" w:hAnsi="Arial Narrow"/>
        </w:rPr>
      </w:pPr>
    </w:p>
    <w:p w14:paraId="24D70908" w14:textId="09B40C83" w:rsidR="00056EE4" w:rsidRDefault="005870F6" w:rsidP="00687C34">
      <w:pPr>
        <w:pStyle w:val="Caption"/>
        <w:rPr>
          <w:rFonts w:ascii="Arial Narrow" w:hAnsi="Arial Narrow"/>
        </w:rPr>
      </w:pPr>
      <w:r>
        <w:rPr>
          <w:noProof/>
        </w:rPr>
        <w:drawing>
          <wp:inline distT="0" distB="0" distL="0" distR="0" wp14:anchorId="5B50A7FF" wp14:editId="10B01B66">
            <wp:extent cx="5943600" cy="3172460"/>
            <wp:effectExtent l="0" t="0" r="0" b="8890"/>
            <wp:docPr id="1754091880" name="Chart 1">
              <a:extLst xmlns:a="http://schemas.openxmlformats.org/drawingml/2006/main">
                <a:ext uri="{FF2B5EF4-FFF2-40B4-BE49-F238E27FC236}">
                  <a16:creationId xmlns:a16="http://schemas.microsoft.com/office/drawing/2014/main" id="{3AD32E34-26A8-9C32-DBB4-081B28E8AEFE}"/>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14:paraId="0F15BCDD" w14:textId="77974E50" w:rsidR="007F720B" w:rsidRPr="00687C34" w:rsidRDefault="00687C34" w:rsidP="00687C34">
      <w:pPr>
        <w:pStyle w:val="Caption"/>
        <w:rPr>
          <w:rFonts w:ascii="Arial Narrow" w:hAnsi="Arial Narrow"/>
        </w:rPr>
      </w:pPr>
      <w:bookmarkStart w:id="54" w:name="_Ref226899829"/>
      <w:bookmarkStart w:id="55" w:name="_Toc227410278"/>
      <w:r w:rsidRPr="00687C34">
        <w:rPr>
          <w:rFonts w:ascii="Arial Narrow" w:hAnsi="Arial Narrow"/>
        </w:rPr>
        <w:t xml:space="preserve">Figure </w:t>
      </w:r>
      <w:r w:rsidRPr="00687C34">
        <w:rPr>
          <w:rFonts w:ascii="Arial Narrow" w:hAnsi="Arial Narrow"/>
        </w:rPr>
        <w:fldChar w:fldCharType="begin"/>
      </w:r>
      <w:r w:rsidRPr="00687C34">
        <w:rPr>
          <w:rFonts w:ascii="Arial Narrow" w:hAnsi="Arial Narrow"/>
        </w:rPr>
        <w:instrText xml:space="preserve"> SEQ Figure \* ARABIC </w:instrText>
      </w:r>
      <w:r w:rsidRPr="00687C34">
        <w:rPr>
          <w:rFonts w:ascii="Arial Narrow" w:hAnsi="Arial Narrow"/>
        </w:rPr>
        <w:fldChar w:fldCharType="separate"/>
      </w:r>
      <w:r w:rsidR="00244816">
        <w:rPr>
          <w:rFonts w:ascii="Arial Narrow" w:hAnsi="Arial Narrow"/>
          <w:noProof/>
        </w:rPr>
        <w:t>6</w:t>
      </w:r>
      <w:r w:rsidRPr="00687C34">
        <w:rPr>
          <w:rFonts w:ascii="Arial Narrow" w:hAnsi="Arial Narrow"/>
        </w:rPr>
        <w:fldChar w:fldCharType="end"/>
      </w:r>
      <w:bookmarkEnd w:id="54"/>
      <w:r w:rsidRPr="00687C34">
        <w:rPr>
          <w:rFonts w:ascii="Arial Narrow" w:hAnsi="Arial Narrow"/>
        </w:rPr>
        <w:t xml:space="preserve">. </w:t>
      </w:r>
      <w:r w:rsidR="00B07D5B">
        <w:rPr>
          <w:rFonts w:ascii="Arial Narrow" w:hAnsi="Arial Narrow"/>
        </w:rPr>
        <w:t>Mean</w:t>
      </w:r>
      <w:r w:rsidR="00281C43">
        <w:rPr>
          <w:rFonts w:ascii="Arial Narrow" w:hAnsi="Arial Narrow"/>
        </w:rPr>
        <w:t xml:space="preserve"> </w:t>
      </w:r>
      <w:r w:rsidRPr="00687C34">
        <w:rPr>
          <w:rFonts w:ascii="Arial Narrow" w:hAnsi="Arial Narrow"/>
        </w:rPr>
        <w:t>monthly precipitation</w:t>
      </w:r>
      <w:r w:rsidR="00A05F35">
        <w:rPr>
          <w:rFonts w:ascii="Arial Narrow" w:hAnsi="Arial Narrow"/>
        </w:rPr>
        <w:t xml:space="preserve"> (P)</w:t>
      </w:r>
      <w:r w:rsidRPr="00687C34">
        <w:rPr>
          <w:rFonts w:ascii="Arial Narrow" w:hAnsi="Arial Narrow"/>
        </w:rPr>
        <w:t xml:space="preserve"> and actual ET</w:t>
      </w:r>
      <w:r w:rsidR="00A05F35">
        <w:rPr>
          <w:rFonts w:ascii="Arial Narrow" w:hAnsi="Arial Narrow"/>
        </w:rPr>
        <w:t xml:space="preserve"> (ETa)</w:t>
      </w:r>
      <w:r w:rsidRPr="00687C34">
        <w:rPr>
          <w:rFonts w:ascii="Arial Narrow" w:hAnsi="Arial Narrow"/>
        </w:rPr>
        <w:t xml:space="preserve"> </w:t>
      </w:r>
      <w:r w:rsidR="003D1B9D">
        <w:rPr>
          <w:rFonts w:ascii="Arial Narrow" w:hAnsi="Arial Narrow"/>
        </w:rPr>
        <w:t>in mm</w:t>
      </w:r>
      <w:r w:rsidRPr="00687C34">
        <w:rPr>
          <w:rFonts w:ascii="Arial Narrow" w:hAnsi="Arial Narrow"/>
        </w:rPr>
        <w:t xml:space="preserve"> </w:t>
      </w:r>
      <w:r w:rsidR="00281C43">
        <w:rPr>
          <w:rFonts w:ascii="Arial Narrow" w:hAnsi="Arial Narrow"/>
        </w:rPr>
        <w:t xml:space="preserve">for </w:t>
      </w:r>
      <w:r w:rsidR="00F160D6">
        <w:rPr>
          <w:rFonts w:ascii="Arial Narrow" w:hAnsi="Arial Narrow"/>
        </w:rPr>
        <w:t>Kosrae</w:t>
      </w:r>
      <w:r w:rsidR="00664F73">
        <w:rPr>
          <w:rFonts w:ascii="Arial Narrow" w:hAnsi="Arial Narrow"/>
        </w:rPr>
        <w:t xml:space="preserve"> (2013-202</w:t>
      </w:r>
      <w:r w:rsidR="00501E28">
        <w:rPr>
          <w:rFonts w:ascii="Arial Narrow" w:hAnsi="Arial Narrow"/>
        </w:rPr>
        <w:t>5)</w:t>
      </w:r>
      <w:r w:rsidRPr="00687C34">
        <w:rPr>
          <w:rFonts w:ascii="Arial Narrow" w:hAnsi="Arial Narrow"/>
        </w:rPr>
        <w:t>.</w:t>
      </w:r>
      <w:bookmarkEnd w:id="55"/>
    </w:p>
    <w:p w14:paraId="641BC4AC" w14:textId="409EDAF2" w:rsidR="00EA65C9" w:rsidRPr="00EA65C9" w:rsidRDefault="00EA65C9" w:rsidP="00EA65C9">
      <w:pPr>
        <w:pStyle w:val="BodyText"/>
        <w:ind w:firstLine="0"/>
        <w:rPr>
          <w:rFonts w:ascii="Arial Narrow" w:hAnsi="Arial Narrow"/>
        </w:rPr>
      </w:pPr>
      <w:r>
        <w:rPr>
          <w:rFonts w:ascii="Arial Narrow" w:hAnsi="Arial Narrow"/>
        </w:rPr>
        <w:tab/>
        <w:t>Alt. text. Area chart showing</w:t>
      </w:r>
      <w:r w:rsidR="007655CD">
        <w:rPr>
          <w:rFonts w:ascii="Arial Narrow" w:hAnsi="Arial Narrow"/>
        </w:rPr>
        <w:t xml:space="preserve"> the </w:t>
      </w:r>
      <w:r w:rsidR="007B7EBF">
        <w:rPr>
          <w:rFonts w:ascii="Arial Narrow" w:hAnsi="Arial Narrow"/>
        </w:rPr>
        <w:t>mean</w:t>
      </w:r>
      <w:r w:rsidR="007655CD">
        <w:rPr>
          <w:rFonts w:ascii="Arial Narrow" w:hAnsi="Arial Narrow"/>
        </w:rPr>
        <w:t xml:space="preserve"> monthly precipitation</w:t>
      </w:r>
      <w:r w:rsidR="003912ED">
        <w:rPr>
          <w:rFonts w:ascii="Arial Narrow" w:hAnsi="Arial Narrow"/>
        </w:rPr>
        <w:t xml:space="preserve"> in mm with</w:t>
      </w:r>
      <w:r w:rsidR="007655CD">
        <w:rPr>
          <w:rFonts w:ascii="Arial Narrow" w:hAnsi="Arial Narrow"/>
        </w:rPr>
        <w:t xml:space="preserve"> blue hatch lines</w:t>
      </w:r>
      <w:r w:rsidR="003912ED">
        <w:rPr>
          <w:rFonts w:ascii="Arial Narrow" w:hAnsi="Arial Narrow"/>
        </w:rPr>
        <w:t xml:space="preserve"> and actual ET in mm in green (solid)</w:t>
      </w:r>
      <w:r w:rsidR="00172F48">
        <w:rPr>
          <w:rFonts w:ascii="Arial Narrow" w:hAnsi="Arial Narrow"/>
        </w:rPr>
        <w:t>.</w:t>
      </w:r>
    </w:p>
    <w:p w14:paraId="2BBC4DA0" w14:textId="684D46B2" w:rsidR="00572875" w:rsidRPr="00175435" w:rsidRDefault="00572875" w:rsidP="00572875">
      <w:pPr>
        <w:pStyle w:val="BodyText"/>
      </w:pPr>
      <w:r>
        <w:t>Annual ET</w:t>
      </w:r>
      <w:r w:rsidR="00D878D9">
        <w:t>a</w:t>
      </w:r>
      <w:r>
        <w:t xml:space="preserve"> totals are similarly stable. From 2013 through 2025, ET</w:t>
      </w:r>
      <w:r w:rsidR="00D878D9">
        <w:t>a</w:t>
      </w:r>
      <w:r>
        <w:t xml:space="preserve"> varies only between approximately 1,137 and 1,245 mm per year, indicating that year</w:t>
      </w:r>
      <w:r w:rsidR="03363913">
        <w:t>-</w:t>
      </w:r>
      <w:r>
        <w:t>to</w:t>
      </w:r>
      <w:r w:rsidR="6A578534">
        <w:t>-</w:t>
      </w:r>
      <w:r>
        <w:t>year changes in atmospheric water loss are small compared to the much larger variability in precipitation (</w:t>
      </w:r>
      <w:r>
        <w:fldChar w:fldCharType="begin"/>
      </w:r>
      <w:r>
        <w:instrText xml:space="preserve"> REF _Ref226899863 \h </w:instrText>
      </w:r>
      <w:r>
        <w:fldChar w:fldCharType="separate"/>
      </w:r>
      <w:r w:rsidR="00244816" w:rsidRPr="5D4249CE">
        <w:rPr>
          <w:rFonts w:ascii="Arial Narrow" w:hAnsi="Arial Narrow"/>
        </w:rPr>
        <w:t xml:space="preserve">Figure </w:t>
      </w:r>
      <w:r w:rsidR="00244816" w:rsidRPr="5D4249CE">
        <w:rPr>
          <w:rFonts w:ascii="Arial Narrow" w:hAnsi="Arial Narrow"/>
          <w:noProof/>
        </w:rPr>
        <w:t>7</w:t>
      </w:r>
      <w:r>
        <w:fldChar w:fldCharType="end"/>
      </w:r>
      <w:r>
        <w:t xml:space="preserve">). </w:t>
      </w:r>
    </w:p>
    <w:p w14:paraId="25BBE8D5" w14:textId="602E9C16" w:rsidR="00EB7FDD" w:rsidRDefault="00117BE9" w:rsidP="008848A2">
      <w:pPr>
        <w:pStyle w:val="BodyText"/>
        <w:ind w:firstLine="0"/>
      </w:pPr>
      <w:r>
        <w:rPr>
          <w:noProof/>
        </w:rPr>
        <w:drawing>
          <wp:inline distT="0" distB="0" distL="0" distR="0" wp14:anchorId="7726D546" wp14:editId="7BB7C30B">
            <wp:extent cx="5943600" cy="2557780"/>
            <wp:effectExtent l="0" t="0" r="0" b="0"/>
            <wp:docPr id="950956246" name="Chart 1">
              <a:extLst xmlns:a="http://schemas.openxmlformats.org/drawingml/2006/main">
                <a:ext uri="{FF2B5EF4-FFF2-40B4-BE49-F238E27FC236}">
                  <a16:creationId xmlns:a16="http://schemas.microsoft.com/office/drawing/2014/main" id="{ADC316BF-0E9D-CF77-D522-26540CF73A1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14:paraId="50CF51CC" w14:textId="64516C07" w:rsidR="00687C34" w:rsidRPr="00687C34" w:rsidRDefault="00687C34" w:rsidP="00687C34">
      <w:pPr>
        <w:pStyle w:val="Caption"/>
        <w:rPr>
          <w:rFonts w:ascii="Arial Narrow" w:hAnsi="Arial Narrow"/>
        </w:rPr>
      </w:pPr>
      <w:bookmarkStart w:id="56" w:name="_Ref226899863"/>
      <w:bookmarkStart w:id="57" w:name="_Toc227410279"/>
      <w:r w:rsidRPr="00687C34">
        <w:rPr>
          <w:rFonts w:ascii="Arial Narrow" w:hAnsi="Arial Narrow"/>
        </w:rPr>
        <w:t xml:space="preserve">Figure </w:t>
      </w:r>
      <w:r w:rsidRPr="00687C34">
        <w:rPr>
          <w:rFonts w:ascii="Arial Narrow" w:hAnsi="Arial Narrow"/>
        </w:rPr>
        <w:fldChar w:fldCharType="begin"/>
      </w:r>
      <w:r w:rsidRPr="00687C34">
        <w:rPr>
          <w:rFonts w:ascii="Arial Narrow" w:hAnsi="Arial Narrow"/>
        </w:rPr>
        <w:instrText xml:space="preserve"> SEQ Figure \* ARABIC </w:instrText>
      </w:r>
      <w:r w:rsidRPr="00687C34">
        <w:rPr>
          <w:rFonts w:ascii="Arial Narrow" w:hAnsi="Arial Narrow"/>
        </w:rPr>
        <w:fldChar w:fldCharType="separate"/>
      </w:r>
      <w:r w:rsidR="00244816">
        <w:rPr>
          <w:rFonts w:ascii="Arial Narrow" w:hAnsi="Arial Narrow"/>
          <w:noProof/>
        </w:rPr>
        <w:t>7</w:t>
      </w:r>
      <w:r w:rsidRPr="00687C34">
        <w:rPr>
          <w:rFonts w:ascii="Arial Narrow" w:hAnsi="Arial Narrow"/>
        </w:rPr>
        <w:fldChar w:fldCharType="end"/>
      </w:r>
      <w:bookmarkEnd w:id="56"/>
      <w:r w:rsidRPr="00687C34">
        <w:rPr>
          <w:rFonts w:ascii="Arial Narrow" w:hAnsi="Arial Narrow"/>
        </w:rPr>
        <w:t>. Annual actual ET</w:t>
      </w:r>
      <w:r w:rsidR="00134D47">
        <w:rPr>
          <w:rFonts w:ascii="Arial Narrow" w:hAnsi="Arial Narrow"/>
        </w:rPr>
        <w:t xml:space="preserve"> (ETa)</w:t>
      </w:r>
      <w:r w:rsidRPr="00687C34">
        <w:rPr>
          <w:rFonts w:ascii="Arial Narrow" w:hAnsi="Arial Narrow"/>
        </w:rPr>
        <w:t xml:space="preserve"> for </w:t>
      </w:r>
      <w:r w:rsidR="00134D47">
        <w:rPr>
          <w:rFonts w:ascii="Arial Narrow" w:hAnsi="Arial Narrow"/>
        </w:rPr>
        <w:t xml:space="preserve">Kosrae </w:t>
      </w:r>
      <w:r w:rsidR="00694FBA">
        <w:rPr>
          <w:rFonts w:ascii="Arial Narrow" w:hAnsi="Arial Narrow"/>
        </w:rPr>
        <w:t xml:space="preserve">in mm for years </w:t>
      </w:r>
      <w:r w:rsidRPr="00687C34">
        <w:rPr>
          <w:rFonts w:ascii="Arial Narrow" w:hAnsi="Arial Narrow"/>
        </w:rPr>
        <w:t xml:space="preserve">2013 </w:t>
      </w:r>
      <w:r w:rsidR="00134D47">
        <w:rPr>
          <w:rFonts w:ascii="Arial Narrow" w:hAnsi="Arial Narrow"/>
        </w:rPr>
        <w:t>–</w:t>
      </w:r>
      <w:r w:rsidRPr="00687C34">
        <w:rPr>
          <w:rFonts w:ascii="Arial Narrow" w:hAnsi="Arial Narrow"/>
        </w:rPr>
        <w:t xml:space="preserve"> 2025 </w:t>
      </w:r>
      <w:r w:rsidR="00B51A27">
        <w:rPr>
          <w:rFonts w:ascii="Arial Narrow" w:hAnsi="Arial Narrow"/>
        </w:rPr>
        <w:t>using SSEBop</w:t>
      </w:r>
      <w:r w:rsidR="000A2909">
        <w:rPr>
          <w:rFonts w:ascii="Arial Narrow" w:hAnsi="Arial Narrow"/>
        </w:rPr>
        <w:t xml:space="preserve"> </w:t>
      </w:r>
      <w:r w:rsidR="00694FBA">
        <w:rPr>
          <w:rFonts w:ascii="Arial Narrow" w:hAnsi="Arial Narrow"/>
        </w:rPr>
        <w:t>model</w:t>
      </w:r>
      <w:r w:rsidRPr="00687C34">
        <w:rPr>
          <w:rFonts w:ascii="Arial Narrow" w:hAnsi="Arial Narrow"/>
        </w:rPr>
        <w:t>.</w:t>
      </w:r>
      <w:bookmarkEnd w:id="57"/>
    </w:p>
    <w:p w14:paraId="603C6395" w14:textId="6382FC50" w:rsidR="00FB175B" w:rsidRPr="009F43CC" w:rsidRDefault="00FB175B" w:rsidP="0010647C">
      <w:pPr>
        <w:pStyle w:val="BodyText"/>
        <w:ind w:left="720" w:firstLine="0"/>
        <w:rPr>
          <w:rFonts w:ascii="Arial Narrow" w:hAnsi="Arial Narrow"/>
        </w:rPr>
      </w:pPr>
      <w:r>
        <w:rPr>
          <w:rFonts w:ascii="Arial Narrow" w:hAnsi="Arial Narrow"/>
        </w:rPr>
        <w:t xml:space="preserve">Alt. text. </w:t>
      </w:r>
      <w:r w:rsidR="00D94D6C">
        <w:rPr>
          <w:rFonts w:ascii="Arial Narrow" w:hAnsi="Arial Narrow"/>
        </w:rPr>
        <w:t xml:space="preserve">Bar chart with </w:t>
      </w:r>
      <w:r w:rsidR="0010647C" w:rsidRPr="00687C34">
        <w:rPr>
          <w:rFonts w:ascii="Arial Narrow" w:hAnsi="Arial Narrow"/>
        </w:rPr>
        <w:t xml:space="preserve">Annual </w:t>
      </w:r>
      <w:r w:rsidR="00D94D6C" w:rsidRPr="00144922">
        <w:rPr>
          <w:rFonts w:ascii="Arial Narrow" w:hAnsi="Arial Narrow"/>
        </w:rPr>
        <w:t xml:space="preserve">actual ET </w:t>
      </w:r>
      <w:r w:rsidR="0010647C">
        <w:rPr>
          <w:rFonts w:ascii="Arial Narrow" w:hAnsi="Arial Narrow"/>
        </w:rPr>
        <w:t>(ETa)</w:t>
      </w:r>
      <w:r w:rsidR="0010647C" w:rsidRPr="00687C34">
        <w:rPr>
          <w:rFonts w:ascii="Arial Narrow" w:hAnsi="Arial Narrow"/>
        </w:rPr>
        <w:t xml:space="preserve"> for </w:t>
      </w:r>
      <w:r w:rsidR="0010647C">
        <w:rPr>
          <w:rFonts w:ascii="Arial Narrow" w:hAnsi="Arial Narrow"/>
        </w:rPr>
        <w:t xml:space="preserve">Kosrae in mm </w:t>
      </w:r>
      <w:r w:rsidR="00D94D6C" w:rsidRPr="00144922">
        <w:rPr>
          <w:rFonts w:ascii="Arial Narrow" w:hAnsi="Arial Narrow"/>
        </w:rPr>
        <w:t xml:space="preserve">for years 2013 </w:t>
      </w:r>
      <w:r w:rsidR="0010647C">
        <w:rPr>
          <w:rFonts w:ascii="Arial Narrow" w:hAnsi="Arial Narrow"/>
        </w:rPr>
        <w:t>–</w:t>
      </w:r>
      <w:r w:rsidR="00D94D6C" w:rsidRPr="00144922">
        <w:rPr>
          <w:rFonts w:ascii="Arial Narrow" w:hAnsi="Arial Narrow"/>
        </w:rPr>
        <w:t xml:space="preserve"> 2025 </w:t>
      </w:r>
      <w:r w:rsidR="0010647C">
        <w:rPr>
          <w:rFonts w:ascii="Arial Narrow" w:hAnsi="Arial Narrow"/>
        </w:rPr>
        <w:t>using SSEBop model</w:t>
      </w:r>
      <w:r w:rsidR="00D94D6C">
        <w:rPr>
          <w:rFonts w:ascii="Arial Narrow" w:hAnsi="Arial Narrow"/>
        </w:rPr>
        <w:t>.</w:t>
      </w:r>
    </w:p>
    <w:p w14:paraId="48D9A32A" w14:textId="18B2A52F" w:rsidR="00943377" w:rsidRDefault="0026284B" w:rsidP="00E350F6">
      <w:pPr>
        <w:pStyle w:val="BodyText"/>
      </w:pPr>
      <w:r w:rsidRPr="00175435">
        <w:t>This stability, combined with consistently high rainfall, results in a large and persistent surplus of water available for runoff, groundwater recharge, and storage. Because ET responds primarily to energy limitations rather than moisture limitations on Kosrae, these annual values remain relatively constant even in drier years. As a result, interannual differences in water availability are driven almost entirely by precipitation variability rather than by changes in atmospheric demand. This predictable ET regime enhances the island’s hydrologic reliability, supporting perennial streamflow and maintaining saturated soils</w:t>
      </w:r>
      <w:r w:rsidR="003816AA">
        <w:t xml:space="preserve">; however, </w:t>
      </w:r>
      <w:r w:rsidRPr="00175435">
        <w:t xml:space="preserve">Kosrae </w:t>
      </w:r>
      <w:r w:rsidR="00867C56">
        <w:t xml:space="preserve">could still be </w:t>
      </w:r>
      <w:r w:rsidRPr="00175435">
        <w:t xml:space="preserve">sensitive to </w:t>
      </w:r>
      <w:r w:rsidR="00A336E6">
        <w:t xml:space="preserve">large </w:t>
      </w:r>
      <w:r w:rsidRPr="00175435">
        <w:t>reductions in rainfall during regional drought events.</w:t>
      </w:r>
    </w:p>
    <w:p w14:paraId="0C6C9FC7" w14:textId="179BFBBD" w:rsidR="00F37C83" w:rsidRDefault="00F37C83" w:rsidP="004836C2">
      <w:pPr>
        <w:pStyle w:val="Head3"/>
      </w:pPr>
      <w:bookmarkStart w:id="58" w:name="_Toc228288435"/>
      <w:r w:rsidRPr="004836C2">
        <w:t>Water Balance</w:t>
      </w:r>
      <w:bookmarkEnd w:id="58"/>
    </w:p>
    <w:p w14:paraId="0EC28A49" w14:textId="0E5EC23F" w:rsidR="003A026F" w:rsidRDefault="00394E38" w:rsidP="00350B7F">
      <w:pPr>
        <w:pStyle w:val="BodyText"/>
      </w:pPr>
      <w:r w:rsidRPr="00E33C63">
        <w:t>The water balance</w:t>
      </w:r>
      <w:r w:rsidR="0091229E" w:rsidRPr="00E33C63">
        <w:t xml:space="preserve"> or net water </w:t>
      </w:r>
      <w:r w:rsidR="00DA30FD">
        <w:t xml:space="preserve">availability </w:t>
      </w:r>
      <w:r w:rsidR="0091229E" w:rsidRPr="00E33C63">
        <w:t xml:space="preserve">refers to the water surplus available </w:t>
      </w:r>
      <w:r w:rsidR="00FE3578" w:rsidRPr="00E33C63">
        <w:t>after accounting for atmospheric losses</w:t>
      </w:r>
      <w:r w:rsidR="005D3336">
        <w:t>.</w:t>
      </w:r>
      <w:r w:rsidR="003A79A3">
        <w:t xml:space="preserve"> </w:t>
      </w:r>
      <w:r w:rsidR="00E33C63" w:rsidRPr="00E33C63">
        <w:t xml:space="preserve">Monthly net water is consistently positive across Kosrae, reflecting a humid tropical climate where precipitation frequently exceeds ET. ET typically ranges near ~95–105 mm per month, whereas monthly precipitation commonly falls between ~300–600 mm, yielding surpluses of several hundred millimeters in many </w:t>
      </w:r>
      <w:r w:rsidR="00E33C63" w:rsidRPr="000E2067">
        <w:t>months</w:t>
      </w:r>
      <w:r w:rsidR="008E33E8" w:rsidRPr="000E2067">
        <w:t xml:space="preserve"> (</w:t>
      </w:r>
      <w:r w:rsidR="000E2067" w:rsidRPr="000E2067">
        <w:fldChar w:fldCharType="begin"/>
      </w:r>
      <w:r w:rsidR="000E2067" w:rsidRPr="000E2067">
        <w:instrText xml:space="preserve"> REF _Ref227410963 \h </w:instrText>
      </w:r>
      <w:r w:rsidR="000E2067">
        <w:instrText xml:space="preserve"> \* MERGEFORMAT </w:instrText>
      </w:r>
      <w:r w:rsidR="000E2067" w:rsidRPr="000E2067">
        <w:fldChar w:fldCharType="separate"/>
      </w:r>
      <w:r w:rsidR="000E2067" w:rsidRPr="000E2067">
        <w:t xml:space="preserve">Figure </w:t>
      </w:r>
      <w:r w:rsidR="000E2067" w:rsidRPr="000E2067">
        <w:rPr>
          <w:noProof/>
        </w:rPr>
        <w:t>8</w:t>
      </w:r>
      <w:r w:rsidR="000E2067" w:rsidRPr="000E2067">
        <w:fldChar w:fldCharType="end"/>
      </w:r>
      <w:r w:rsidR="008E33E8" w:rsidRPr="000E2067">
        <w:t>)</w:t>
      </w:r>
      <w:r w:rsidR="00E33C63" w:rsidRPr="000E2067">
        <w:t>.</w:t>
      </w:r>
      <w:r w:rsidR="00A920F9">
        <w:t xml:space="preserve"> </w:t>
      </w:r>
      <w:r w:rsidR="0060096D">
        <w:t>Extremely</w:t>
      </w:r>
      <w:r w:rsidR="0019111D">
        <w:t xml:space="preserve"> wet months </w:t>
      </w:r>
      <w:r w:rsidR="0060096D">
        <w:t>with large surpluses are April 2019 (657 mm) and May 2021 (</w:t>
      </w:r>
      <w:r w:rsidR="003C7C0A">
        <w:t xml:space="preserve">758 mm). </w:t>
      </w:r>
      <w:r w:rsidR="00746515">
        <w:t xml:space="preserve">Lower surplus </w:t>
      </w:r>
      <w:r w:rsidR="003548B8">
        <w:t>months</w:t>
      </w:r>
      <w:r w:rsidR="00181177">
        <w:t xml:space="preserve"> </w:t>
      </w:r>
      <w:r w:rsidR="00487890">
        <w:t xml:space="preserve">are </w:t>
      </w:r>
      <w:r w:rsidR="00610FDA">
        <w:t>March</w:t>
      </w:r>
      <w:r w:rsidR="00EB4D82">
        <w:t>/</w:t>
      </w:r>
      <w:r w:rsidR="00610FDA">
        <w:t>April</w:t>
      </w:r>
      <w:r w:rsidR="00C04E0A">
        <w:t xml:space="preserve"> 2016 and </w:t>
      </w:r>
      <w:r w:rsidR="003834E2">
        <w:t>November</w:t>
      </w:r>
      <w:r w:rsidR="00EB4D82">
        <w:t>/December 2018.</w:t>
      </w:r>
      <w:r w:rsidR="005E2EF0">
        <w:rPr>
          <w:noProof/>
        </w:rPr>
        <w:drawing>
          <wp:inline distT="0" distB="0" distL="0" distR="0" wp14:anchorId="6C3CD493" wp14:editId="363D04DD">
            <wp:extent cx="6103088" cy="2477135"/>
            <wp:effectExtent l="0" t="0" r="0" b="0"/>
            <wp:docPr id="1914154684" name="Chart 1">
              <a:extLst xmlns:a="http://schemas.openxmlformats.org/drawingml/2006/main">
                <a:ext uri="{FF2B5EF4-FFF2-40B4-BE49-F238E27FC236}">
                  <a16:creationId xmlns:a16="http://schemas.microsoft.com/office/drawing/2014/main" id="{535B1CC5-FD48-EC22-3C7F-1233C4FCFE2A}"/>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14:paraId="2527C275" w14:textId="24A76B7C" w:rsidR="003A026F" w:rsidRPr="00233067" w:rsidRDefault="00233067" w:rsidP="00233067">
      <w:pPr>
        <w:pStyle w:val="Caption"/>
        <w:rPr>
          <w:rFonts w:ascii="Arial Narrow" w:hAnsi="Arial Narrow"/>
        </w:rPr>
      </w:pPr>
      <w:bookmarkStart w:id="59" w:name="_Ref227410963"/>
      <w:bookmarkStart w:id="60" w:name="_Toc227410280"/>
      <w:r w:rsidRPr="00233067">
        <w:rPr>
          <w:rFonts w:ascii="Arial Narrow" w:hAnsi="Arial Narrow"/>
        </w:rPr>
        <w:t xml:space="preserve">Figure </w:t>
      </w:r>
      <w:r w:rsidRPr="00233067">
        <w:rPr>
          <w:rFonts w:ascii="Arial Narrow" w:hAnsi="Arial Narrow"/>
        </w:rPr>
        <w:fldChar w:fldCharType="begin"/>
      </w:r>
      <w:r w:rsidRPr="00233067">
        <w:rPr>
          <w:rFonts w:ascii="Arial Narrow" w:hAnsi="Arial Narrow"/>
        </w:rPr>
        <w:instrText xml:space="preserve"> SEQ Figure \* ARABIC </w:instrText>
      </w:r>
      <w:r w:rsidRPr="00233067">
        <w:rPr>
          <w:rFonts w:ascii="Arial Narrow" w:hAnsi="Arial Narrow"/>
        </w:rPr>
        <w:fldChar w:fldCharType="separate"/>
      </w:r>
      <w:r w:rsidR="00244816">
        <w:rPr>
          <w:rFonts w:ascii="Arial Narrow" w:hAnsi="Arial Narrow"/>
          <w:noProof/>
        </w:rPr>
        <w:t>8</w:t>
      </w:r>
      <w:r w:rsidRPr="00233067">
        <w:rPr>
          <w:rFonts w:ascii="Arial Narrow" w:hAnsi="Arial Narrow"/>
        </w:rPr>
        <w:fldChar w:fldCharType="end"/>
      </w:r>
      <w:bookmarkEnd w:id="59"/>
      <w:r w:rsidRPr="00233067">
        <w:rPr>
          <w:rFonts w:ascii="Arial Narrow" w:hAnsi="Arial Narrow"/>
        </w:rPr>
        <w:t xml:space="preserve">. Monthly </w:t>
      </w:r>
      <w:r w:rsidR="009B2C19">
        <w:rPr>
          <w:rFonts w:ascii="Arial Narrow" w:hAnsi="Arial Narrow"/>
        </w:rPr>
        <w:t xml:space="preserve">relative </w:t>
      </w:r>
      <w:r w:rsidRPr="00233067">
        <w:rPr>
          <w:rFonts w:ascii="Arial Narrow" w:hAnsi="Arial Narrow"/>
        </w:rPr>
        <w:t>net water availability</w:t>
      </w:r>
      <w:r w:rsidR="00B041BA">
        <w:rPr>
          <w:rFonts w:ascii="Arial Narrow" w:hAnsi="Arial Narrow"/>
        </w:rPr>
        <w:t xml:space="preserve"> (P – ETa) for Kosrae</w:t>
      </w:r>
      <w:r w:rsidR="002A2FB4">
        <w:rPr>
          <w:rFonts w:ascii="Arial Narrow" w:hAnsi="Arial Narrow"/>
        </w:rPr>
        <w:t xml:space="preserve"> (</w:t>
      </w:r>
      <w:r w:rsidRPr="00233067">
        <w:rPr>
          <w:rFonts w:ascii="Arial Narrow" w:hAnsi="Arial Narrow"/>
        </w:rPr>
        <w:t xml:space="preserve">2012 </w:t>
      </w:r>
      <w:r w:rsidR="002A2FB4">
        <w:rPr>
          <w:rFonts w:ascii="Arial Narrow" w:hAnsi="Arial Narrow"/>
        </w:rPr>
        <w:t>–</w:t>
      </w:r>
      <w:r w:rsidRPr="00233067">
        <w:rPr>
          <w:rFonts w:ascii="Arial Narrow" w:hAnsi="Arial Narrow"/>
        </w:rPr>
        <w:t xml:space="preserve"> 2025</w:t>
      </w:r>
      <w:r w:rsidR="002A2FB4">
        <w:rPr>
          <w:rFonts w:ascii="Arial Narrow" w:hAnsi="Arial Narrow"/>
        </w:rPr>
        <w:t>)</w:t>
      </w:r>
      <w:r w:rsidRPr="00233067">
        <w:rPr>
          <w:rFonts w:ascii="Arial Narrow" w:hAnsi="Arial Narrow"/>
        </w:rPr>
        <w:t xml:space="preserve"> in mm.</w:t>
      </w:r>
      <w:bookmarkEnd w:id="60"/>
    </w:p>
    <w:p w14:paraId="770B1B65" w14:textId="0316ED6B" w:rsidR="00D94D6C" w:rsidRPr="00AF309D" w:rsidRDefault="00D94D6C" w:rsidP="00AF309D">
      <w:pPr>
        <w:pStyle w:val="BodyText"/>
        <w:rPr>
          <w:rFonts w:ascii="Arial Narrow" w:hAnsi="Arial Narrow"/>
        </w:rPr>
      </w:pPr>
      <w:r>
        <w:rPr>
          <w:rFonts w:ascii="Arial Narrow" w:hAnsi="Arial Narrow"/>
        </w:rPr>
        <w:tab/>
        <w:t xml:space="preserve">Alt. text. </w:t>
      </w:r>
      <w:r w:rsidR="00FA32DA">
        <w:rPr>
          <w:rFonts w:ascii="Arial Narrow" w:hAnsi="Arial Narrow"/>
        </w:rPr>
        <w:t xml:space="preserve">Bar chart showing </w:t>
      </w:r>
      <w:r w:rsidR="00233067">
        <w:rPr>
          <w:rFonts w:ascii="Arial Narrow" w:hAnsi="Arial Narrow"/>
        </w:rPr>
        <w:t>m</w:t>
      </w:r>
      <w:r w:rsidR="00233067" w:rsidRPr="00233067">
        <w:rPr>
          <w:rFonts w:ascii="Arial Narrow" w:hAnsi="Arial Narrow"/>
        </w:rPr>
        <w:t>onthly net water availability for years 2012 - 2025 in mm.</w:t>
      </w:r>
    </w:p>
    <w:p w14:paraId="6AFB3AC6" w14:textId="76CD150B" w:rsidR="00CA3247" w:rsidRDefault="000D7421" w:rsidP="000D7421">
      <w:pPr>
        <w:pStyle w:val="BodyText"/>
      </w:pPr>
      <w:r>
        <w:t>At the annual scale</w:t>
      </w:r>
      <w:r w:rsidR="001D0993">
        <w:t xml:space="preserve"> the net water availability ranges from 2060 mm in 2016 to </w:t>
      </w:r>
      <w:r w:rsidR="00021A73">
        <w:t xml:space="preserve">4544 mm in </w:t>
      </w:r>
      <w:r w:rsidR="00021A73" w:rsidRPr="007E2DEE">
        <w:t>2021</w:t>
      </w:r>
      <w:r w:rsidR="00007CB0" w:rsidRPr="007E2DEE">
        <w:t xml:space="preserve"> (</w:t>
      </w:r>
      <w:r w:rsidR="00007CB0" w:rsidRPr="007E2DEE">
        <w:fldChar w:fldCharType="begin"/>
      </w:r>
      <w:r w:rsidR="00007CB0" w:rsidRPr="007E2DEE">
        <w:instrText xml:space="preserve"> REF _Ref226900026 \h </w:instrText>
      </w:r>
      <w:r w:rsidR="007E2DEE">
        <w:instrText xml:space="preserve"> \* MERGEFORMAT </w:instrText>
      </w:r>
      <w:r w:rsidR="00007CB0" w:rsidRPr="007E2DEE">
        <w:fldChar w:fldCharType="separate"/>
      </w:r>
      <w:r w:rsidR="00244816" w:rsidRPr="007E2DEE">
        <w:t xml:space="preserve">Figure </w:t>
      </w:r>
      <w:r w:rsidR="00244816" w:rsidRPr="007E2DEE">
        <w:rPr>
          <w:noProof/>
        </w:rPr>
        <w:t>9</w:t>
      </w:r>
      <w:r w:rsidR="00007CB0" w:rsidRPr="007E2DEE">
        <w:fldChar w:fldCharType="end"/>
      </w:r>
      <w:r w:rsidR="00007CB0" w:rsidRPr="007E2DEE">
        <w:t>)</w:t>
      </w:r>
      <w:r w:rsidR="00021A73" w:rsidRPr="007E2DEE">
        <w:t>.</w:t>
      </w:r>
      <w:r w:rsidR="00F503C1">
        <w:t xml:space="preserve"> </w:t>
      </w:r>
      <w:r w:rsidR="00F503C1" w:rsidRPr="00F503C1">
        <w:t>Across the last five years (2020–2024), the mean annual net water is approximately 3,890 mm/yr underscoring a large and persistent water surplus available for streamflow, storage, and groundwater recharge even as year‑to‑year precipitation fluctuates.</w:t>
      </w:r>
    </w:p>
    <w:p w14:paraId="67278667" w14:textId="54161DAA" w:rsidR="00AF309D" w:rsidRDefault="00AF309D" w:rsidP="00687C34">
      <w:pPr>
        <w:pStyle w:val="Caption"/>
        <w:rPr>
          <w:rFonts w:ascii="Arial Narrow" w:hAnsi="Arial Narrow"/>
        </w:rPr>
      </w:pPr>
    </w:p>
    <w:p w14:paraId="1D76E46C" w14:textId="77777777" w:rsidR="00945773" w:rsidRDefault="00945773" w:rsidP="00945773"/>
    <w:p w14:paraId="3BCD3638" w14:textId="6AA08730" w:rsidR="00945773" w:rsidRPr="000A40DB" w:rsidRDefault="00024698" w:rsidP="000A40DB">
      <w:r>
        <w:rPr>
          <w:noProof/>
        </w:rPr>
        <w:drawing>
          <wp:inline distT="0" distB="0" distL="0" distR="0" wp14:anchorId="2B6F335A" wp14:editId="16750252">
            <wp:extent cx="5943600" cy="2936240"/>
            <wp:effectExtent l="0" t="0" r="0" b="0"/>
            <wp:docPr id="69170769" name="Chart 1">
              <a:extLst xmlns:a="http://schemas.openxmlformats.org/drawingml/2006/main">
                <a:ext uri="{FF2B5EF4-FFF2-40B4-BE49-F238E27FC236}">
                  <a16:creationId xmlns:a16="http://schemas.microsoft.com/office/drawing/2014/main" id="{54439032-71F2-4874-BF00-80DCC668A88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p w14:paraId="4EF13B0A" w14:textId="759026F8" w:rsidR="00350B7F" w:rsidRPr="00687C34" w:rsidRDefault="00687C34" w:rsidP="00687C34">
      <w:pPr>
        <w:pStyle w:val="Caption"/>
        <w:rPr>
          <w:rFonts w:ascii="Arial Narrow" w:hAnsi="Arial Narrow"/>
        </w:rPr>
      </w:pPr>
      <w:bookmarkStart w:id="61" w:name="_Ref226900026"/>
      <w:bookmarkStart w:id="62" w:name="_Toc227410281"/>
      <w:r w:rsidRPr="5D4249CE">
        <w:rPr>
          <w:rFonts w:ascii="Arial Narrow" w:hAnsi="Arial Narrow"/>
        </w:rPr>
        <w:t xml:space="preserve">Figure </w:t>
      </w:r>
      <w:r w:rsidRPr="5D4249CE">
        <w:rPr>
          <w:rFonts w:ascii="Arial Narrow" w:hAnsi="Arial Narrow"/>
        </w:rPr>
        <w:fldChar w:fldCharType="begin"/>
      </w:r>
      <w:r w:rsidRPr="5D4249CE">
        <w:rPr>
          <w:rFonts w:ascii="Arial Narrow" w:hAnsi="Arial Narrow"/>
        </w:rPr>
        <w:instrText xml:space="preserve"> SEQ Figure \* ARABIC </w:instrText>
      </w:r>
      <w:r w:rsidRPr="5D4249CE">
        <w:rPr>
          <w:rFonts w:ascii="Arial Narrow" w:hAnsi="Arial Narrow"/>
        </w:rPr>
        <w:fldChar w:fldCharType="separate"/>
      </w:r>
      <w:r w:rsidR="00244816" w:rsidRPr="5D4249CE">
        <w:rPr>
          <w:rFonts w:ascii="Arial Narrow" w:hAnsi="Arial Narrow"/>
          <w:noProof/>
        </w:rPr>
        <w:t>9</w:t>
      </w:r>
      <w:r w:rsidRPr="5D4249CE">
        <w:rPr>
          <w:rFonts w:ascii="Arial Narrow" w:hAnsi="Arial Narrow"/>
        </w:rPr>
        <w:fldChar w:fldCharType="end"/>
      </w:r>
      <w:bookmarkEnd w:id="61"/>
      <w:r w:rsidRPr="5D4249CE">
        <w:rPr>
          <w:rFonts w:ascii="Arial Narrow" w:hAnsi="Arial Narrow"/>
        </w:rPr>
        <w:t xml:space="preserve">. </w:t>
      </w:r>
      <w:r w:rsidR="006264D2">
        <w:rPr>
          <w:rFonts w:ascii="Arial Narrow" w:hAnsi="Arial Narrow"/>
        </w:rPr>
        <w:t>Net a</w:t>
      </w:r>
      <w:r w:rsidR="007F24CF" w:rsidRPr="5D4249CE">
        <w:rPr>
          <w:rFonts w:ascii="Arial Narrow" w:hAnsi="Arial Narrow"/>
        </w:rPr>
        <w:t xml:space="preserve">nnual </w:t>
      </w:r>
      <w:r w:rsidR="006264D2">
        <w:rPr>
          <w:rFonts w:ascii="Arial Narrow" w:hAnsi="Arial Narrow"/>
        </w:rPr>
        <w:t>w</w:t>
      </w:r>
      <w:r w:rsidR="007F24CF" w:rsidRPr="5D4249CE">
        <w:rPr>
          <w:rFonts w:ascii="Arial Narrow" w:hAnsi="Arial Narrow"/>
        </w:rPr>
        <w:t xml:space="preserve">ater </w:t>
      </w:r>
      <w:r w:rsidR="006264D2">
        <w:rPr>
          <w:rFonts w:ascii="Arial Narrow" w:hAnsi="Arial Narrow"/>
        </w:rPr>
        <w:t>availability in mm</w:t>
      </w:r>
      <w:r w:rsidR="007F24CF" w:rsidRPr="5D4249CE">
        <w:rPr>
          <w:rFonts w:ascii="Arial Narrow" w:hAnsi="Arial Narrow"/>
        </w:rPr>
        <w:t xml:space="preserve"> </w:t>
      </w:r>
      <w:r w:rsidR="00662A46" w:rsidRPr="5D4249CE">
        <w:rPr>
          <w:rFonts w:ascii="Arial Narrow" w:hAnsi="Arial Narrow"/>
        </w:rPr>
        <w:t xml:space="preserve">for Kosrae </w:t>
      </w:r>
      <w:r w:rsidR="006264D2">
        <w:rPr>
          <w:rFonts w:ascii="Arial Narrow" w:hAnsi="Arial Narrow"/>
        </w:rPr>
        <w:t xml:space="preserve">from </w:t>
      </w:r>
      <w:r w:rsidR="00662A46" w:rsidRPr="5D4249CE">
        <w:rPr>
          <w:rFonts w:ascii="Arial Narrow" w:hAnsi="Arial Narrow"/>
        </w:rPr>
        <w:t>2013-</w:t>
      </w:r>
      <w:r w:rsidR="00506995" w:rsidRPr="5D4249CE">
        <w:rPr>
          <w:rFonts w:ascii="Arial Narrow" w:hAnsi="Arial Narrow"/>
        </w:rPr>
        <w:t>202</w:t>
      </w:r>
      <w:r w:rsidR="002802AF" w:rsidRPr="5D4249CE">
        <w:rPr>
          <w:rFonts w:ascii="Arial Narrow" w:hAnsi="Arial Narrow"/>
        </w:rPr>
        <w:t>4</w:t>
      </w:r>
      <w:bookmarkEnd w:id="62"/>
      <w:r w:rsidR="002802AF" w:rsidRPr="5D4249CE">
        <w:rPr>
          <w:rFonts w:ascii="Arial Narrow" w:hAnsi="Arial Narrow"/>
        </w:rPr>
        <w:t>.</w:t>
      </w:r>
      <w:r w:rsidR="006264D2">
        <w:rPr>
          <w:rFonts w:ascii="Arial Narrow" w:hAnsi="Arial Narrow"/>
        </w:rPr>
        <w:t xml:space="preserve"> Precipitation </w:t>
      </w:r>
      <w:r w:rsidR="0094714B">
        <w:rPr>
          <w:rFonts w:ascii="Arial Narrow" w:hAnsi="Arial Narrow"/>
        </w:rPr>
        <w:t xml:space="preserve">(P) </w:t>
      </w:r>
      <w:r w:rsidR="000D6333">
        <w:rPr>
          <w:rFonts w:ascii="Arial Narrow" w:hAnsi="Arial Narrow"/>
        </w:rPr>
        <w:t xml:space="preserve">data is based on IMERG </w:t>
      </w:r>
      <w:proofErr w:type="gramStart"/>
      <w:r w:rsidR="000D6333">
        <w:rPr>
          <w:rFonts w:ascii="Arial Narrow" w:hAnsi="Arial Narrow"/>
        </w:rPr>
        <w:t>( )</w:t>
      </w:r>
      <w:proofErr w:type="gramEnd"/>
      <w:r w:rsidR="000D6333">
        <w:rPr>
          <w:rFonts w:ascii="Arial Narrow" w:hAnsi="Arial Narrow"/>
        </w:rPr>
        <w:t xml:space="preserve"> and </w:t>
      </w:r>
      <w:r w:rsidR="0094714B">
        <w:rPr>
          <w:rFonts w:ascii="Arial Narrow" w:hAnsi="Arial Narrow"/>
        </w:rPr>
        <w:t>evapotranspiration (</w:t>
      </w:r>
      <w:r w:rsidR="000D6333">
        <w:rPr>
          <w:rFonts w:ascii="Arial Narrow" w:hAnsi="Arial Narrow"/>
        </w:rPr>
        <w:t>ET</w:t>
      </w:r>
      <w:r w:rsidR="0094714B">
        <w:rPr>
          <w:rFonts w:ascii="Arial Narrow" w:hAnsi="Arial Narrow"/>
        </w:rPr>
        <w:t>)</w:t>
      </w:r>
      <w:r w:rsidR="000D6333">
        <w:rPr>
          <w:rFonts w:ascii="Arial Narrow" w:hAnsi="Arial Narrow"/>
        </w:rPr>
        <w:t xml:space="preserve"> data is</w:t>
      </w:r>
      <w:r w:rsidR="0094714B">
        <w:rPr>
          <w:rFonts w:ascii="Arial Narrow" w:hAnsi="Arial Narrow"/>
        </w:rPr>
        <w:t xml:space="preserve"> based on the SSEBop (</w:t>
      </w:r>
      <w:r w:rsidR="00EC47DD">
        <w:rPr>
          <w:rFonts w:ascii="Arial Narrow" w:hAnsi="Arial Narrow"/>
        </w:rPr>
        <w:t>operational Simplified Surface Energy Balance</w:t>
      </w:r>
      <w:r w:rsidR="0094714B">
        <w:rPr>
          <w:rFonts w:ascii="Arial Narrow" w:hAnsi="Arial Narrow"/>
        </w:rPr>
        <w:t xml:space="preserve">) model. The difference between P and </w:t>
      </w:r>
      <w:proofErr w:type="gramStart"/>
      <w:r w:rsidR="0094714B">
        <w:rPr>
          <w:rFonts w:ascii="Arial Narrow" w:hAnsi="Arial Narrow"/>
        </w:rPr>
        <w:t>ETa</w:t>
      </w:r>
      <w:r w:rsidR="00506995" w:rsidRPr="5D4249CE">
        <w:rPr>
          <w:rFonts w:ascii="Arial Narrow" w:hAnsi="Arial Narrow"/>
        </w:rPr>
        <w:t xml:space="preserve"> </w:t>
      </w:r>
      <w:r w:rsidR="004A16D1">
        <w:rPr>
          <w:rFonts w:ascii="Arial Narrow" w:hAnsi="Arial Narrow"/>
        </w:rPr>
        <w:t xml:space="preserve"> is</w:t>
      </w:r>
      <w:proofErr w:type="gramEnd"/>
      <w:r w:rsidR="004A16D1">
        <w:rPr>
          <w:rFonts w:ascii="Arial Narrow" w:hAnsi="Arial Narrow"/>
        </w:rPr>
        <w:t xml:space="preserve"> the available water in mm.</w:t>
      </w:r>
    </w:p>
    <w:p w14:paraId="4A62371F" w14:textId="77BEAAB6" w:rsidR="00AF309D" w:rsidRDefault="00350B7F" w:rsidP="00007CB0">
      <w:pPr>
        <w:pStyle w:val="BodyText"/>
        <w:ind w:left="720" w:firstLine="0"/>
        <w:rPr>
          <w:rFonts w:ascii="Arial Narrow" w:hAnsi="Arial Narrow"/>
        </w:rPr>
      </w:pPr>
      <w:r>
        <w:rPr>
          <w:rFonts w:ascii="Arial Narrow" w:hAnsi="Arial Narrow"/>
        </w:rPr>
        <w:t xml:space="preserve">Alt. text. </w:t>
      </w:r>
      <w:r w:rsidR="00FA3F76">
        <w:rPr>
          <w:rFonts w:ascii="Arial Narrow" w:hAnsi="Arial Narrow"/>
        </w:rPr>
        <w:t>Horizontal b</w:t>
      </w:r>
      <w:r>
        <w:rPr>
          <w:rFonts w:ascii="Arial Narrow" w:hAnsi="Arial Narrow"/>
        </w:rPr>
        <w:t>ar chart</w:t>
      </w:r>
      <w:r w:rsidR="00FA3F76">
        <w:rPr>
          <w:rFonts w:ascii="Arial Narrow" w:hAnsi="Arial Narrow"/>
        </w:rPr>
        <w:t xml:space="preserve"> showing n</w:t>
      </w:r>
      <w:r w:rsidR="00FA3F76" w:rsidRPr="00AF309D">
        <w:rPr>
          <w:rFonts w:ascii="Arial Narrow" w:hAnsi="Arial Narrow"/>
        </w:rPr>
        <w:t>et water availability per year in mm</w:t>
      </w:r>
      <w:r w:rsidR="00FA3F76">
        <w:rPr>
          <w:rFonts w:ascii="Arial Narrow" w:hAnsi="Arial Narrow"/>
        </w:rPr>
        <w:t xml:space="preserve"> for 2013 </w:t>
      </w:r>
      <w:r w:rsidR="00576E55">
        <w:rPr>
          <w:rFonts w:ascii="Arial Narrow" w:hAnsi="Arial Narrow"/>
        </w:rPr>
        <w:t>to 2024 starting with 2024 at the top</w:t>
      </w:r>
      <w:r w:rsidR="00FA3F76">
        <w:rPr>
          <w:rFonts w:ascii="Arial Narrow" w:hAnsi="Arial Narrow"/>
        </w:rPr>
        <w:t>.</w:t>
      </w:r>
    </w:p>
    <w:p w14:paraId="3C10DCA6" w14:textId="0BFF3DFB" w:rsidR="00092373" w:rsidRPr="00007CB0" w:rsidRDefault="00092373" w:rsidP="00007CB0">
      <w:pPr>
        <w:pStyle w:val="BodyText"/>
      </w:pPr>
      <w:r>
        <w:t>The combination of high monthly surpluses and strong annual net water implies that water availability is robust for Kosrae under typical conditions. However, the observed variability (for example, 2016 as a lower</w:t>
      </w:r>
      <w:r w:rsidR="35801D2B">
        <w:t xml:space="preserve"> </w:t>
      </w:r>
      <w:r>
        <w:t>surplus year) highlights the value of monitoring and planning for short dry spells and managing turbidity or flood</w:t>
      </w:r>
      <w:r w:rsidR="5E784C5B">
        <w:t xml:space="preserve"> </w:t>
      </w:r>
      <w:r>
        <w:t>related impacts during exceptionally wet months.</w:t>
      </w:r>
    </w:p>
    <w:p w14:paraId="72456E21" w14:textId="77777777" w:rsidR="009D2AA0" w:rsidRDefault="009D2AA0" w:rsidP="009D2AA0">
      <w:pPr>
        <w:pStyle w:val="BodyText"/>
      </w:pPr>
    </w:p>
    <w:p w14:paraId="47C4BA0E" w14:textId="77777777" w:rsidR="008C6D5D" w:rsidRDefault="008C6D5D" w:rsidP="009D2AA0">
      <w:pPr>
        <w:pStyle w:val="BodyText"/>
      </w:pPr>
    </w:p>
    <w:p w14:paraId="0F26FB5E" w14:textId="2867E3E7" w:rsidR="002111F3" w:rsidRPr="008C6D5D" w:rsidRDefault="008C6D5D" w:rsidP="008C6D5D">
      <w:pPr>
        <w:pStyle w:val="Head3"/>
      </w:pPr>
      <w:bookmarkStart w:id="63" w:name="_Toc228288436"/>
      <w:r>
        <w:t>Drought Monitoring</w:t>
      </w:r>
      <w:bookmarkEnd w:id="63"/>
    </w:p>
    <w:p w14:paraId="0D77DA97" w14:textId="54E22607" w:rsidR="003760F7" w:rsidRPr="00E86A5D" w:rsidRDefault="003760F7" w:rsidP="00C47A57">
      <w:pPr>
        <w:rPr>
          <w:rFonts w:ascii="Arial" w:hAnsi="Arial" w:cs="Arial"/>
          <w:i/>
          <w:iCs/>
          <w:sz w:val="22"/>
          <w:szCs w:val="22"/>
        </w:rPr>
      </w:pPr>
      <w:r w:rsidRPr="00E86A5D">
        <w:rPr>
          <w:rFonts w:ascii="Arial" w:hAnsi="Arial" w:cs="Arial"/>
          <w:i/>
          <w:iCs/>
          <w:sz w:val="22"/>
          <w:szCs w:val="22"/>
        </w:rPr>
        <w:t xml:space="preserve">Rainfall Index </w:t>
      </w:r>
    </w:p>
    <w:p w14:paraId="4A098941" w14:textId="19CFEA90" w:rsidR="003760F7" w:rsidRDefault="003760F7" w:rsidP="008C1772">
      <w:r>
        <w:t xml:space="preserve">The Kosrae Rainfall Index record </w:t>
      </w:r>
      <w:r w:rsidRPr="005D04A8">
        <w:rPr>
          <w:rFonts w:cs="Times New Roman"/>
        </w:rPr>
        <w:t>(</w:t>
      </w:r>
      <w:r w:rsidR="005D04A8" w:rsidRPr="005D04A8">
        <w:rPr>
          <w:rFonts w:cs="Times New Roman"/>
        </w:rPr>
        <w:fldChar w:fldCharType="begin"/>
      </w:r>
      <w:r w:rsidR="005D04A8" w:rsidRPr="005D04A8">
        <w:rPr>
          <w:rFonts w:cs="Times New Roman"/>
        </w:rPr>
        <w:instrText xml:space="preserve"> REF _Ref227406158 \h </w:instrText>
      </w:r>
      <w:r w:rsidR="005D04A8">
        <w:rPr>
          <w:rFonts w:cs="Times New Roman"/>
        </w:rPr>
        <w:instrText xml:space="preserve"> \* MERGEFORMAT </w:instrText>
      </w:r>
      <w:r w:rsidR="005D04A8" w:rsidRPr="005D04A8">
        <w:rPr>
          <w:rFonts w:cs="Times New Roman"/>
        </w:rPr>
      </w:r>
      <w:r w:rsidR="005D04A8" w:rsidRPr="005D04A8">
        <w:rPr>
          <w:rFonts w:cs="Times New Roman"/>
        </w:rPr>
        <w:fldChar w:fldCharType="separate"/>
      </w:r>
      <w:r w:rsidR="00244816" w:rsidRPr="00244816">
        <w:rPr>
          <w:rFonts w:cs="Times New Roman"/>
        </w:rPr>
        <w:t xml:space="preserve">Figure </w:t>
      </w:r>
      <w:r w:rsidR="00244816" w:rsidRPr="00244816">
        <w:rPr>
          <w:rFonts w:cs="Times New Roman"/>
          <w:noProof/>
        </w:rPr>
        <w:t>10</w:t>
      </w:r>
      <w:r w:rsidR="005D04A8" w:rsidRPr="005D04A8">
        <w:rPr>
          <w:rFonts w:cs="Times New Roman"/>
        </w:rPr>
        <w:fldChar w:fldCharType="end"/>
      </w:r>
      <w:r w:rsidRPr="005D04A8">
        <w:rPr>
          <w:rFonts w:cs="Times New Roman"/>
        </w:rPr>
        <w:t>)</w:t>
      </w:r>
      <w:r>
        <w:t xml:space="preserve"> shows Drier classifications in 61 of 314 months (19 percent) and Dry in 64 months (20 percent) at the 1-month timescale. At the 6-month timescale, Drier (60 months) and Dry (60 months) together account for 39 percent of observations, slightly lower than the other FSM sites, consistent with the greater buffering capacity of Kosrae’s high and uniform rainfall.</w:t>
      </w:r>
    </w:p>
    <w:p w14:paraId="7BF53268" w14:textId="77777777" w:rsidR="008126A9" w:rsidRDefault="003760F7" w:rsidP="008126A9">
      <w:pPr>
        <w:keepNext/>
        <w:spacing w:before="160" w:after="60"/>
      </w:pPr>
      <w:r>
        <w:rPr>
          <w:noProof/>
        </w:rPr>
        <w:drawing>
          <wp:inline distT="0" distB="0" distL="0" distR="0" wp14:anchorId="2A67AA45" wp14:editId="65FBE4F7">
            <wp:extent cx="5715000" cy="4953000"/>
            <wp:effectExtent l="0" t="0" r="0" b="0"/>
            <wp:docPr id="565470127" name="Kosrae RI Time Series" descr="Three-panel quintile-based Rainfall Index time series for Kosrae." title="Kosrae RI Time Seri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20"/>
                    <a:srcRect/>
                    <a:stretch>
                      <a:fillRect/>
                    </a:stretch>
                  </pic:blipFill>
                  <pic:spPr bwMode="auto">
                    <a:xfrm>
                      <a:off x="0" y="0"/>
                      <a:ext cx="5715000" cy="4953000"/>
                    </a:xfrm>
                    <a:prstGeom prst="rect">
                      <a:avLst/>
                    </a:prstGeom>
                  </pic:spPr>
                </pic:pic>
              </a:graphicData>
            </a:graphic>
          </wp:inline>
        </w:drawing>
      </w:r>
    </w:p>
    <w:p w14:paraId="00E226BB" w14:textId="23933BA2" w:rsidR="00876A98" w:rsidRPr="008126A9" w:rsidRDefault="008126A9" w:rsidP="008126A9">
      <w:pPr>
        <w:pStyle w:val="Caption"/>
        <w:rPr>
          <w:rFonts w:ascii="Arial Narrow" w:hAnsi="Arial Narrow"/>
        </w:rPr>
      </w:pPr>
      <w:bookmarkStart w:id="64" w:name="_Ref227406158"/>
      <w:bookmarkStart w:id="65" w:name="_Toc227410282"/>
      <w:r w:rsidRPr="008126A9">
        <w:rPr>
          <w:rFonts w:ascii="Arial Narrow" w:hAnsi="Arial Narrow"/>
        </w:rPr>
        <w:t xml:space="preserve">Figure </w:t>
      </w:r>
      <w:r w:rsidRPr="008126A9">
        <w:rPr>
          <w:rFonts w:ascii="Arial Narrow" w:hAnsi="Arial Narrow"/>
        </w:rPr>
        <w:fldChar w:fldCharType="begin"/>
      </w:r>
      <w:r w:rsidRPr="008126A9">
        <w:rPr>
          <w:rFonts w:ascii="Arial Narrow" w:hAnsi="Arial Narrow"/>
        </w:rPr>
        <w:instrText xml:space="preserve"> SEQ Figure \* ARABIC </w:instrText>
      </w:r>
      <w:r w:rsidRPr="008126A9">
        <w:rPr>
          <w:rFonts w:ascii="Arial Narrow" w:hAnsi="Arial Narrow"/>
        </w:rPr>
        <w:fldChar w:fldCharType="separate"/>
      </w:r>
      <w:r w:rsidR="00244816">
        <w:rPr>
          <w:rFonts w:ascii="Arial Narrow" w:hAnsi="Arial Narrow"/>
          <w:noProof/>
        </w:rPr>
        <w:t>10</w:t>
      </w:r>
      <w:r w:rsidRPr="008126A9">
        <w:rPr>
          <w:rFonts w:ascii="Arial Narrow" w:hAnsi="Arial Narrow"/>
        </w:rPr>
        <w:fldChar w:fldCharType="end"/>
      </w:r>
      <w:bookmarkEnd w:id="64"/>
      <w:r w:rsidRPr="008126A9">
        <w:rPr>
          <w:rFonts w:ascii="Arial Narrow" w:hAnsi="Arial Narrow"/>
        </w:rPr>
        <w:t>. Quintile-based Rainfall Index time series for Kosrae showing (A) 1-month, (B) 3-month, and (C) 6-month accumulation windows.</w:t>
      </w:r>
      <w:bookmarkEnd w:id="65"/>
    </w:p>
    <w:p w14:paraId="2EA0E859" w14:textId="4DDE7DBC" w:rsidR="003760F7" w:rsidRPr="00DE5F42" w:rsidRDefault="003760F7" w:rsidP="00DE5F42">
      <w:pPr>
        <w:pStyle w:val="Caption"/>
        <w:rPr>
          <w:rFonts w:ascii="Arial" w:hAnsi="Arial" w:cs="Arial"/>
        </w:rPr>
      </w:pPr>
    </w:p>
    <w:p w14:paraId="6DFE7B2A" w14:textId="14BB05DD" w:rsidR="003760F7" w:rsidRPr="004C2480" w:rsidRDefault="003760F7" w:rsidP="004C2480">
      <w:pPr>
        <w:spacing w:before="240" w:after="0"/>
        <w:rPr>
          <w:rFonts w:ascii="Arial" w:hAnsi="Arial" w:cs="Arial"/>
          <w:i/>
          <w:iCs/>
          <w:sz w:val="22"/>
          <w:szCs w:val="22"/>
        </w:rPr>
      </w:pPr>
      <w:r w:rsidRPr="004C2480">
        <w:rPr>
          <w:rFonts w:ascii="Arial" w:hAnsi="Arial" w:cs="Arial"/>
          <w:i/>
          <w:iCs/>
          <w:sz w:val="22"/>
          <w:szCs w:val="22"/>
        </w:rPr>
        <w:t>Notable Drought Episodes</w:t>
      </w:r>
    </w:p>
    <w:p w14:paraId="492E92EA" w14:textId="79DE2CFB" w:rsidR="00645B8E" w:rsidRDefault="003760F7" w:rsidP="00645B8E">
      <w:pPr>
        <w:ind w:firstLine="720"/>
      </w:pPr>
      <w:r>
        <w:t>The most prolonged drought at Kosrae occurred from August 2010 through March 2011, when 8 consecutive months were classified as Drier or Dry, with 6 in the Drier category</w:t>
      </w:r>
      <w:r w:rsidR="0069002D">
        <w:t xml:space="preserve"> (</w:t>
      </w:r>
      <w:r w:rsidR="0069002D" w:rsidRPr="000841B4">
        <w:rPr>
          <w:rFonts w:cs="Times New Roman"/>
        </w:rPr>
        <w:fldChar w:fldCharType="begin"/>
      </w:r>
      <w:r w:rsidR="0069002D" w:rsidRPr="000841B4">
        <w:rPr>
          <w:rFonts w:cs="Times New Roman"/>
        </w:rPr>
        <w:instrText xml:space="preserve"> REF _Ref227406405 \h </w:instrText>
      </w:r>
      <w:r w:rsidR="000841B4">
        <w:rPr>
          <w:rFonts w:cs="Times New Roman"/>
        </w:rPr>
        <w:instrText xml:space="preserve"> \* MERGEFORMAT </w:instrText>
      </w:r>
      <w:r w:rsidR="0069002D" w:rsidRPr="000841B4">
        <w:rPr>
          <w:rFonts w:cs="Times New Roman"/>
        </w:rPr>
      </w:r>
      <w:r w:rsidR="0069002D" w:rsidRPr="000841B4">
        <w:rPr>
          <w:rFonts w:cs="Times New Roman"/>
        </w:rPr>
        <w:fldChar w:fldCharType="separate"/>
      </w:r>
      <w:r w:rsidR="00244816" w:rsidRPr="00244816">
        <w:rPr>
          <w:rFonts w:cs="Times New Roman"/>
        </w:rPr>
        <w:t xml:space="preserve">Table </w:t>
      </w:r>
      <w:r w:rsidR="00244816" w:rsidRPr="00244816">
        <w:rPr>
          <w:rFonts w:cs="Times New Roman"/>
          <w:noProof/>
        </w:rPr>
        <w:t>2</w:t>
      </w:r>
      <w:r w:rsidR="0069002D" w:rsidRPr="000841B4">
        <w:rPr>
          <w:rFonts w:cs="Times New Roman"/>
        </w:rPr>
        <w:fldChar w:fldCharType="end"/>
      </w:r>
      <w:r w:rsidR="0069002D" w:rsidRPr="000841B4">
        <w:rPr>
          <w:rFonts w:cs="Times New Roman"/>
        </w:rPr>
        <w:t>)</w:t>
      </w:r>
      <w:r w:rsidRPr="000841B4">
        <w:rPr>
          <w:rFonts w:cs="Times New Roman"/>
        </w:rPr>
        <w:t>.</w:t>
      </w:r>
      <w:r>
        <w:t xml:space="preserve"> At the 3-month window, 6 of these months were classified as Drier, and 7 at the 6-month window, indicating a sustained multi-timescale deficit of exceptional duration for this wet location. No PEAC-Red months occurred, as even the minimum monthly precipitation during the episode (121.0 millimeters) exceeded the 4-inch </w:t>
      </w:r>
      <w:r w:rsidR="00642EDA">
        <w:t>(10</w:t>
      </w:r>
      <w:r w:rsidR="00567453">
        <w:t>.2</w:t>
      </w:r>
      <w:r w:rsidR="00642EDA">
        <w:t xml:space="preserve"> cm) </w:t>
      </w:r>
      <w:r>
        <w:t>threshold.</w:t>
      </w:r>
    </w:p>
    <w:p w14:paraId="512DEF32" w14:textId="5A71574A" w:rsidR="003760F7" w:rsidRDefault="003760F7" w:rsidP="00645B8E">
      <w:pPr>
        <w:ind w:firstLine="720"/>
      </w:pPr>
      <w:r>
        <w:t>The 2015–2016 regional drought produced 7 consecutive months of Drier/Dry conditions at Kosrae (October 2015 through April 2016), with 5 Drier months at the 1-month timescale and 1 PEAC-Red month (minimum precipitation 66.0 millimeters). Earlier episodes include March through July 2001 (5 months, 3 Drier, 1 PEAC-Red, minimum 72.0 millimeters) and January through June 2007 (6 months, 2 Drier, no PEAC-Red). More recently, October through December 2018 showed 3 consecutive Drier months with Drier classifications at the 3-month window.</w:t>
      </w:r>
    </w:p>
    <w:p w14:paraId="65B78316" w14:textId="46719416" w:rsidR="00413DC9" w:rsidRPr="00413DC9" w:rsidRDefault="00413DC9" w:rsidP="00413DC9">
      <w:pPr>
        <w:pStyle w:val="Caption"/>
        <w:keepNext/>
        <w:rPr>
          <w:rFonts w:ascii="Arial Narrow" w:hAnsi="Arial Narrow"/>
        </w:rPr>
      </w:pPr>
      <w:bookmarkStart w:id="66" w:name="_Ref227406405"/>
      <w:bookmarkStart w:id="67" w:name="_Toc228288462"/>
      <w:r w:rsidRPr="00413DC9">
        <w:rPr>
          <w:rFonts w:ascii="Arial Narrow" w:hAnsi="Arial Narrow"/>
        </w:rPr>
        <w:t xml:space="preserve">Table </w:t>
      </w:r>
      <w:r w:rsidRPr="00413DC9">
        <w:rPr>
          <w:rFonts w:ascii="Arial Narrow" w:hAnsi="Arial Narrow"/>
        </w:rPr>
        <w:fldChar w:fldCharType="begin"/>
      </w:r>
      <w:r w:rsidRPr="00413DC9">
        <w:rPr>
          <w:rFonts w:ascii="Arial Narrow" w:hAnsi="Arial Narrow"/>
        </w:rPr>
        <w:instrText xml:space="preserve"> SEQ Table \* ARABIC </w:instrText>
      </w:r>
      <w:r w:rsidRPr="00413DC9">
        <w:rPr>
          <w:rFonts w:ascii="Arial Narrow" w:hAnsi="Arial Narrow"/>
        </w:rPr>
        <w:fldChar w:fldCharType="separate"/>
      </w:r>
      <w:r w:rsidR="00244816">
        <w:rPr>
          <w:rFonts w:ascii="Arial Narrow" w:hAnsi="Arial Narrow"/>
          <w:noProof/>
        </w:rPr>
        <w:t>2</w:t>
      </w:r>
      <w:r w:rsidRPr="00413DC9">
        <w:rPr>
          <w:rFonts w:ascii="Arial Narrow" w:hAnsi="Arial Narrow"/>
        </w:rPr>
        <w:fldChar w:fldCharType="end"/>
      </w:r>
      <w:bookmarkEnd w:id="66"/>
      <w:r w:rsidRPr="00413DC9">
        <w:rPr>
          <w:rFonts w:ascii="Arial Narrow" w:hAnsi="Arial Narrow"/>
        </w:rPr>
        <w:t>. Summary of notable drought episodes at Kosrae.</w:t>
      </w:r>
      <w:bookmarkEnd w:id="67"/>
    </w:p>
    <w:tbl>
      <w:tblPr>
        <w:tblStyle w:val="TableGrid"/>
        <w:tblW w:w="9360" w:type="dxa"/>
        <w:tblLook w:val="04A0" w:firstRow="1" w:lastRow="0" w:firstColumn="1" w:lastColumn="0" w:noHBand="0" w:noVBand="1"/>
      </w:tblPr>
      <w:tblGrid>
        <w:gridCol w:w="2245"/>
        <w:gridCol w:w="2160"/>
        <w:gridCol w:w="1620"/>
        <w:gridCol w:w="1620"/>
        <w:gridCol w:w="1715"/>
      </w:tblGrid>
      <w:tr w:rsidR="00F42C40" w:rsidRPr="00413DC9" w14:paraId="3072E078" w14:textId="77777777" w:rsidTr="009918D8">
        <w:tc>
          <w:tcPr>
            <w:tcW w:w="2245" w:type="dxa"/>
          </w:tcPr>
          <w:p w14:paraId="6A3E3C4F" w14:textId="77777777" w:rsidR="003760F7" w:rsidRPr="00413DC9" w:rsidRDefault="003760F7" w:rsidP="00584FF4">
            <w:pPr>
              <w:spacing w:line="480" w:lineRule="auto"/>
              <w:rPr>
                <w:rFonts w:ascii="Arial Narrow" w:hAnsi="Arial Narrow"/>
              </w:rPr>
            </w:pPr>
            <w:r w:rsidRPr="00413DC9">
              <w:rPr>
                <w:rFonts w:ascii="Arial Narrow" w:hAnsi="Arial Narrow"/>
                <w:b/>
                <w:bCs/>
              </w:rPr>
              <w:t>Episode</w:t>
            </w:r>
          </w:p>
        </w:tc>
        <w:tc>
          <w:tcPr>
            <w:tcW w:w="2160" w:type="dxa"/>
          </w:tcPr>
          <w:p w14:paraId="709C9929" w14:textId="77777777" w:rsidR="003760F7" w:rsidRPr="00413DC9" w:rsidRDefault="003760F7" w:rsidP="00584FF4">
            <w:pPr>
              <w:spacing w:line="480" w:lineRule="auto"/>
              <w:rPr>
                <w:rFonts w:ascii="Arial Narrow" w:hAnsi="Arial Narrow"/>
              </w:rPr>
            </w:pPr>
            <w:r w:rsidRPr="00413DC9">
              <w:rPr>
                <w:rFonts w:ascii="Arial Narrow" w:hAnsi="Arial Narrow"/>
                <w:b/>
                <w:bCs/>
              </w:rPr>
              <w:t>Duration (months)</w:t>
            </w:r>
          </w:p>
        </w:tc>
        <w:tc>
          <w:tcPr>
            <w:tcW w:w="1620" w:type="dxa"/>
          </w:tcPr>
          <w:p w14:paraId="42AC9A67" w14:textId="77777777" w:rsidR="003760F7" w:rsidRPr="00413DC9" w:rsidRDefault="003760F7" w:rsidP="00584FF4">
            <w:pPr>
              <w:spacing w:line="480" w:lineRule="auto"/>
              <w:rPr>
                <w:rFonts w:ascii="Arial Narrow" w:hAnsi="Arial Narrow"/>
              </w:rPr>
            </w:pPr>
            <w:r w:rsidRPr="00413DC9">
              <w:rPr>
                <w:rFonts w:ascii="Arial Narrow" w:hAnsi="Arial Narrow"/>
                <w:b/>
                <w:bCs/>
              </w:rPr>
              <w:t>Drier Months (1-mo)</w:t>
            </w:r>
          </w:p>
        </w:tc>
        <w:tc>
          <w:tcPr>
            <w:tcW w:w="1620" w:type="dxa"/>
          </w:tcPr>
          <w:p w14:paraId="72AC3975" w14:textId="77777777" w:rsidR="003760F7" w:rsidRPr="00413DC9" w:rsidRDefault="003760F7" w:rsidP="00584FF4">
            <w:pPr>
              <w:spacing w:line="480" w:lineRule="auto"/>
              <w:rPr>
                <w:rFonts w:ascii="Arial Narrow" w:hAnsi="Arial Narrow"/>
              </w:rPr>
            </w:pPr>
            <w:r w:rsidRPr="00413DC9">
              <w:rPr>
                <w:rFonts w:ascii="Arial Narrow" w:hAnsi="Arial Narrow"/>
                <w:b/>
                <w:bCs/>
              </w:rPr>
              <w:t>PEAC-Red Months</w:t>
            </w:r>
          </w:p>
        </w:tc>
        <w:tc>
          <w:tcPr>
            <w:tcW w:w="1715" w:type="dxa"/>
          </w:tcPr>
          <w:p w14:paraId="542527C0" w14:textId="77777777" w:rsidR="003760F7" w:rsidRPr="00413DC9" w:rsidRDefault="003760F7" w:rsidP="00584FF4">
            <w:pPr>
              <w:spacing w:line="480" w:lineRule="auto"/>
              <w:rPr>
                <w:rFonts w:ascii="Arial Narrow" w:hAnsi="Arial Narrow"/>
              </w:rPr>
            </w:pPr>
            <w:r w:rsidRPr="00413DC9">
              <w:rPr>
                <w:rFonts w:ascii="Arial Narrow" w:hAnsi="Arial Narrow"/>
                <w:b/>
                <w:bCs/>
              </w:rPr>
              <w:t>Min Precip. (mm)</w:t>
            </w:r>
          </w:p>
        </w:tc>
      </w:tr>
      <w:tr w:rsidR="00F42C40" w:rsidRPr="00413DC9" w14:paraId="25797A4F" w14:textId="77777777" w:rsidTr="009918D8">
        <w:tc>
          <w:tcPr>
            <w:tcW w:w="2245" w:type="dxa"/>
          </w:tcPr>
          <w:p w14:paraId="421A2EC4" w14:textId="77777777" w:rsidR="003760F7" w:rsidRPr="00413DC9" w:rsidRDefault="003760F7" w:rsidP="00584FF4">
            <w:pPr>
              <w:spacing w:line="480" w:lineRule="auto"/>
              <w:rPr>
                <w:rFonts w:ascii="Arial Narrow" w:hAnsi="Arial Narrow"/>
              </w:rPr>
            </w:pPr>
            <w:r w:rsidRPr="00413DC9">
              <w:rPr>
                <w:rFonts w:ascii="Arial Narrow" w:hAnsi="Arial Narrow"/>
              </w:rPr>
              <w:t>Aug 2010 – Mar 2011</w:t>
            </w:r>
          </w:p>
        </w:tc>
        <w:tc>
          <w:tcPr>
            <w:tcW w:w="2160" w:type="dxa"/>
          </w:tcPr>
          <w:p w14:paraId="0180E083" w14:textId="77777777" w:rsidR="003760F7" w:rsidRPr="00413DC9" w:rsidRDefault="003760F7" w:rsidP="00584FF4">
            <w:pPr>
              <w:spacing w:line="480" w:lineRule="auto"/>
              <w:rPr>
                <w:rFonts w:ascii="Arial Narrow" w:hAnsi="Arial Narrow"/>
              </w:rPr>
            </w:pPr>
            <w:r w:rsidRPr="00413DC9">
              <w:rPr>
                <w:rFonts w:ascii="Arial Narrow" w:hAnsi="Arial Narrow"/>
              </w:rPr>
              <w:t>8</w:t>
            </w:r>
          </w:p>
        </w:tc>
        <w:tc>
          <w:tcPr>
            <w:tcW w:w="1620" w:type="dxa"/>
          </w:tcPr>
          <w:p w14:paraId="4831A3C2" w14:textId="77777777" w:rsidR="003760F7" w:rsidRPr="00413DC9" w:rsidRDefault="003760F7" w:rsidP="00584FF4">
            <w:pPr>
              <w:spacing w:line="480" w:lineRule="auto"/>
              <w:rPr>
                <w:rFonts w:ascii="Arial Narrow" w:hAnsi="Arial Narrow"/>
              </w:rPr>
            </w:pPr>
            <w:r w:rsidRPr="00413DC9">
              <w:rPr>
                <w:rFonts w:ascii="Arial Narrow" w:hAnsi="Arial Narrow"/>
              </w:rPr>
              <w:t>6</w:t>
            </w:r>
          </w:p>
        </w:tc>
        <w:tc>
          <w:tcPr>
            <w:tcW w:w="1620" w:type="dxa"/>
          </w:tcPr>
          <w:p w14:paraId="33641CB9" w14:textId="77777777" w:rsidR="003760F7" w:rsidRPr="00413DC9" w:rsidRDefault="003760F7" w:rsidP="00584FF4">
            <w:pPr>
              <w:spacing w:line="480" w:lineRule="auto"/>
              <w:rPr>
                <w:rFonts w:ascii="Arial Narrow" w:hAnsi="Arial Narrow"/>
              </w:rPr>
            </w:pPr>
            <w:r w:rsidRPr="00413DC9">
              <w:rPr>
                <w:rFonts w:ascii="Arial Narrow" w:hAnsi="Arial Narrow"/>
              </w:rPr>
              <w:t>0</w:t>
            </w:r>
          </w:p>
        </w:tc>
        <w:tc>
          <w:tcPr>
            <w:tcW w:w="1715" w:type="dxa"/>
          </w:tcPr>
          <w:p w14:paraId="22AEC2F2" w14:textId="77777777" w:rsidR="003760F7" w:rsidRPr="00413DC9" w:rsidRDefault="003760F7" w:rsidP="00584FF4">
            <w:pPr>
              <w:spacing w:line="480" w:lineRule="auto"/>
              <w:rPr>
                <w:rFonts w:ascii="Arial Narrow" w:hAnsi="Arial Narrow"/>
              </w:rPr>
            </w:pPr>
            <w:r w:rsidRPr="00413DC9">
              <w:rPr>
                <w:rFonts w:ascii="Arial Narrow" w:hAnsi="Arial Narrow"/>
              </w:rPr>
              <w:t>121.0</w:t>
            </w:r>
          </w:p>
        </w:tc>
      </w:tr>
      <w:tr w:rsidR="00F42C40" w:rsidRPr="00413DC9" w14:paraId="5069AD64" w14:textId="77777777" w:rsidTr="009918D8">
        <w:tc>
          <w:tcPr>
            <w:tcW w:w="2245" w:type="dxa"/>
          </w:tcPr>
          <w:p w14:paraId="4055EB9C" w14:textId="77777777" w:rsidR="003760F7" w:rsidRPr="00413DC9" w:rsidRDefault="003760F7" w:rsidP="00584FF4">
            <w:pPr>
              <w:spacing w:line="480" w:lineRule="auto"/>
              <w:rPr>
                <w:rFonts w:ascii="Arial Narrow" w:hAnsi="Arial Narrow"/>
              </w:rPr>
            </w:pPr>
            <w:r w:rsidRPr="00413DC9">
              <w:rPr>
                <w:rFonts w:ascii="Arial Narrow" w:hAnsi="Arial Narrow"/>
              </w:rPr>
              <w:t>Oct 2015 – Apr 2016</w:t>
            </w:r>
          </w:p>
        </w:tc>
        <w:tc>
          <w:tcPr>
            <w:tcW w:w="2160" w:type="dxa"/>
          </w:tcPr>
          <w:p w14:paraId="3B3CA161" w14:textId="77777777" w:rsidR="003760F7" w:rsidRPr="00413DC9" w:rsidRDefault="003760F7" w:rsidP="00584FF4">
            <w:pPr>
              <w:spacing w:line="480" w:lineRule="auto"/>
              <w:rPr>
                <w:rFonts w:ascii="Arial Narrow" w:hAnsi="Arial Narrow"/>
              </w:rPr>
            </w:pPr>
            <w:r w:rsidRPr="00413DC9">
              <w:rPr>
                <w:rFonts w:ascii="Arial Narrow" w:hAnsi="Arial Narrow"/>
              </w:rPr>
              <w:t>7</w:t>
            </w:r>
          </w:p>
        </w:tc>
        <w:tc>
          <w:tcPr>
            <w:tcW w:w="1620" w:type="dxa"/>
          </w:tcPr>
          <w:p w14:paraId="2007DAAF" w14:textId="77777777" w:rsidR="003760F7" w:rsidRPr="00413DC9" w:rsidRDefault="003760F7" w:rsidP="00584FF4">
            <w:pPr>
              <w:spacing w:line="480" w:lineRule="auto"/>
              <w:rPr>
                <w:rFonts w:ascii="Arial Narrow" w:hAnsi="Arial Narrow"/>
              </w:rPr>
            </w:pPr>
            <w:r w:rsidRPr="00413DC9">
              <w:rPr>
                <w:rFonts w:ascii="Arial Narrow" w:hAnsi="Arial Narrow"/>
              </w:rPr>
              <w:t>5</w:t>
            </w:r>
          </w:p>
        </w:tc>
        <w:tc>
          <w:tcPr>
            <w:tcW w:w="1620" w:type="dxa"/>
          </w:tcPr>
          <w:p w14:paraId="685D3A3F" w14:textId="77777777" w:rsidR="003760F7" w:rsidRPr="00413DC9" w:rsidRDefault="003760F7" w:rsidP="00584FF4">
            <w:pPr>
              <w:spacing w:line="480" w:lineRule="auto"/>
              <w:rPr>
                <w:rFonts w:ascii="Arial Narrow" w:hAnsi="Arial Narrow"/>
              </w:rPr>
            </w:pPr>
            <w:r w:rsidRPr="00413DC9">
              <w:rPr>
                <w:rFonts w:ascii="Arial Narrow" w:hAnsi="Arial Narrow"/>
              </w:rPr>
              <w:t>1</w:t>
            </w:r>
          </w:p>
        </w:tc>
        <w:tc>
          <w:tcPr>
            <w:tcW w:w="1715" w:type="dxa"/>
          </w:tcPr>
          <w:p w14:paraId="5B907873" w14:textId="77777777" w:rsidR="003760F7" w:rsidRPr="00413DC9" w:rsidRDefault="003760F7" w:rsidP="00584FF4">
            <w:pPr>
              <w:spacing w:line="480" w:lineRule="auto"/>
              <w:rPr>
                <w:rFonts w:ascii="Arial Narrow" w:hAnsi="Arial Narrow"/>
              </w:rPr>
            </w:pPr>
            <w:r w:rsidRPr="00413DC9">
              <w:rPr>
                <w:rFonts w:ascii="Arial Narrow" w:hAnsi="Arial Narrow"/>
              </w:rPr>
              <w:t>66.0</w:t>
            </w:r>
          </w:p>
        </w:tc>
      </w:tr>
      <w:tr w:rsidR="00F42C40" w:rsidRPr="00413DC9" w14:paraId="7525455A" w14:textId="77777777" w:rsidTr="009918D8">
        <w:tc>
          <w:tcPr>
            <w:tcW w:w="2245" w:type="dxa"/>
          </w:tcPr>
          <w:p w14:paraId="012DB876" w14:textId="77777777" w:rsidR="003760F7" w:rsidRPr="00413DC9" w:rsidRDefault="003760F7" w:rsidP="00584FF4">
            <w:pPr>
              <w:spacing w:line="480" w:lineRule="auto"/>
              <w:rPr>
                <w:rFonts w:ascii="Arial Narrow" w:hAnsi="Arial Narrow"/>
              </w:rPr>
            </w:pPr>
            <w:r w:rsidRPr="00413DC9">
              <w:rPr>
                <w:rFonts w:ascii="Arial Narrow" w:hAnsi="Arial Narrow"/>
              </w:rPr>
              <w:t>Jan 2007 – Jun 2007</w:t>
            </w:r>
          </w:p>
        </w:tc>
        <w:tc>
          <w:tcPr>
            <w:tcW w:w="2160" w:type="dxa"/>
          </w:tcPr>
          <w:p w14:paraId="520A4641" w14:textId="77777777" w:rsidR="003760F7" w:rsidRPr="00413DC9" w:rsidRDefault="003760F7" w:rsidP="00584FF4">
            <w:pPr>
              <w:spacing w:line="480" w:lineRule="auto"/>
              <w:rPr>
                <w:rFonts w:ascii="Arial Narrow" w:hAnsi="Arial Narrow"/>
              </w:rPr>
            </w:pPr>
            <w:r w:rsidRPr="00413DC9">
              <w:rPr>
                <w:rFonts w:ascii="Arial Narrow" w:hAnsi="Arial Narrow"/>
              </w:rPr>
              <w:t>6</w:t>
            </w:r>
          </w:p>
        </w:tc>
        <w:tc>
          <w:tcPr>
            <w:tcW w:w="1620" w:type="dxa"/>
          </w:tcPr>
          <w:p w14:paraId="6F361F14" w14:textId="77777777" w:rsidR="003760F7" w:rsidRPr="00413DC9" w:rsidRDefault="003760F7" w:rsidP="00584FF4">
            <w:pPr>
              <w:spacing w:line="480" w:lineRule="auto"/>
              <w:rPr>
                <w:rFonts w:ascii="Arial Narrow" w:hAnsi="Arial Narrow"/>
              </w:rPr>
            </w:pPr>
            <w:r w:rsidRPr="00413DC9">
              <w:rPr>
                <w:rFonts w:ascii="Arial Narrow" w:hAnsi="Arial Narrow"/>
              </w:rPr>
              <w:t>2</w:t>
            </w:r>
          </w:p>
        </w:tc>
        <w:tc>
          <w:tcPr>
            <w:tcW w:w="1620" w:type="dxa"/>
          </w:tcPr>
          <w:p w14:paraId="0A53240D" w14:textId="77777777" w:rsidR="003760F7" w:rsidRPr="00413DC9" w:rsidRDefault="003760F7" w:rsidP="00584FF4">
            <w:pPr>
              <w:spacing w:line="480" w:lineRule="auto"/>
              <w:rPr>
                <w:rFonts w:ascii="Arial Narrow" w:hAnsi="Arial Narrow"/>
              </w:rPr>
            </w:pPr>
            <w:r w:rsidRPr="00413DC9">
              <w:rPr>
                <w:rFonts w:ascii="Arial Narrow" w:hAnsi="Arial Narrow"/>
              </w:rPr>
              <w:t>0</w:t>
            </w:r>
          </w:p>
        </w:tc>
        <w:tc>
          <w:tcPr>
            <w:tcW w:w="1715" w:type="dxa"/>
          </w:tcPr>
          <w:p w14:paraId="329ABBD9" w14:textId="77777777" w:rsidR="003760F7" w:rsidRPr="00413DC9" w:rsidRDefault="003760F7" w:rsidP="00584FF4">
            <w:pPr>
              <w:spacing w:line="480" w:lineRule="auto"/>
              <w:rPr>
                <w:rFonts w:ascii="Arial Narrow" w:hAnsi="Arial Narrow"/>
              </w:rPr>
            </w:pPr>
            <w:r w:rsidRPr="00413DC9">
              <w:rPr>
                <w:rFonts w:ascii="Arial Narrow" w:hAnsi="Arial Narrow"/>
              </w:rPr>
              <w:t>143.0</w:t>
            </w:r>
          </w:p>
        </w:tc>
      </w:tr>
      <w:tr w:rsidR="00F42C40" w:rsidRPr="00413DC9" w14:paraId="7E93C423" w14:textId="77777777" w:rsidTr="009918D8">
        <w:tc>
          <w:tcPr>
            <w:tcW w:w="2245" w:type="dxa"/>
          </w:tcPr>
          <w:p w14:paraId="31E27F83" w14:textId="77777777" w:rsidR="003760F7" w:rsidRPr="00413DC9" w:rsidRDefault="003760F7" w:rsidP="00584FF4">
            <w:pPr>
              <w:spacing w:line="480" w:lineRule="auto"/>
              <w:rPr>
                <w:rFonts w:ascii="Arial Narrow" w:hAnsi="Arial Narrow"/>
              </w:rPr>
            </w:pPr>
            <w:r w:rsidRPr="00413DC9">
              <w:rPr>
                <w:rFonts w:ascii="Arial Narrow" w:hAnsi="Arial Narrow"/>
              </w:rPr>
              <w:t>Mar 2001 – Jul 2001</w:t>
            </w:r>
          </w:p>
        </w:tc>
        <w:tc>
          <w:tcPr>
            <w:tcW w:w="2160" w:type="dxa"/>
          </w:tcPr>
          <w:p w14:paraId="59429B21" w14:textId="77777777" w:rsidR="003760F7" w:rsidRPr="00413DC9" w:rsidRDefault="003760F7" w:rsidP="00584FF4">
            <w:pPr>
              <w:spacing w:line="480" w:lineRule="auto"/>
              <w:rPr>
                <w:rFonts w:ascii="Arial Narrow" w:hAnsi="Arial Narrow"/>
              </w:rPr>
            </w:pPr>
            <w:r w:rsidRPr="00413DC9">
              <w:rPr>
                <w:rFonts w:ascii="Arial Narrow" w:hAnsi="Arial Narrow"/>
              </w:rPr>
              <w:t>5</w:t>
            </w:r>
          </w:p>
        </w:tc>
        <w:tc>
          <w:tcPr>
            <w:tcW w:w="1620" w:type="dxa"/>
          </w:tcPr>
          <w:p w14:paraId="6B463952" w14:textId="77777777" w:rsidR="003760F7" w:rsidRPr="00413DC9" w:rsidRDefault="003760F7" w:rsidP="00584FF4">
            <w:pPr>
              <w:spacing w:line="480" w:lineRule="auto"/>
              <w:rPr>
                <w:rFonts w:ascii="Arial Narrow" w:hAnsi="Arial Narrow"/>
              </w:rPr>
            </w:pPr>
            <w:r w:rsidRPr="00413DC9">
              <w:rPr>
                <w:rFonts w:ascii="Arial Narrow" w:hAnsi="Arial Narrow"/>
              </w:rPr>
              <w:t>3</w:t>
            </w:r>
          </w:p>
        </w:tc>
        <w:tc>
          <w:tcPr>
            <w:tcW w:w="1620" w:type="dxa"/>
          </w:tcPr>
          <w:p w14:paraId="0011F40E" w14:textId="77777777" w:rsidR="003760F7" w:rsidRPr="00413DC9" w:rsidRDefault="003760F7" w:rsidP="00584FF4">
            <w:pPr>
              <w:spacing w:line="480" w:lineRule="auto"/>
              <w:rPr>
                <w:rFonts w:ascii="Arial Narrow" w:hAnsi="Arial Narrow"/>
              </w:rPr>
            </w:pPr>
            <w:r w:rsidRPr="00413DC9">
              <w:rPr>
                <w:rFonts w:ascii="Arial Narrow" w:hAnsi="Arial Narrow"/>
              </w:rPr>
              <w:t>1</w:t>
            </w:r>
          </w:p>
        </w:tc>
        <w:tc>
          <w:tcPr>
            <w:tcW w:w="1715" w:type="dxa"/>
          </w:tcPr>
          <w:p w14:paraId="4BCC7AE7" w14:textId="77777777" w:rsidR="003760F7" w:rsidRPr="00413DC9" w:rsidRDefault="003760F7" w:rsidP="00584FF4">
            <w:pPr>
              <w:spacing w:line="480" w:lineRule="auto"/>
              <w:rPr>
                <w:rFonts w:ascii="Arial Narrow" w:hAnsi="Arial Narrow"/>
              </w:rPr>
            </w:pPr>
            <w:r w:rsidRPr="00413DC9">
              <w:rPr>
                <w:rFonts w:ascii="Arial Narrow" w:hAnsi="Arial Narrow"/>
              </w:rPr>
              <w:t>72.0</w:t>
            </w:r>
          </w:p>
        </w:tc>
      </w:tr>
      <w:tr w:rsidR="00F42C40" w:rsidRPr="00413DC9" w14:paraId="763978F2" w14:textId="77777777" w:rsidTr="009918D8">
        <w:tc>
          <w:tcPr>
            <w:tcW w:w="2245" w:type="dxa"/>
          </w:tcPr>
          <w:p w14:paraId="05D8607D" w14:textId="77777777" w:rsidR="003760F7" w:rsidRPr="00413DC9" w:rsidRDefault="003760F7" w:rsidP="00584FF4">
            <w:pPr>
              <w:spacing w:line="480" w:lineRule="auto"/>
              <w:rPr>
                <w:rFonts w:ascii="Arial Narrow" w:hAnsi="Arial Narrow"/>
              </w:rPr>
            </w:pPr>
            <w:r w:rsidRPr="00413DC9">
              <w:rPr>
                <w:rFonts w:ascii="Arial Narrow" w:hAnsi="Arial Narrow"/>
              </w:rPr>
              <w:t>Jun 2019 – Oct 2019</w:t>
            </w:r>
          </w:p>
        </w:tc>
        <w:tc>
          <w:tcPr>
            <w:tcW w:w="2160" w:type="dxa"/>
          </w:tcPr>
          <w:p w14:paraId="58FA52EE" w14:textId="77777777" w:rsidR="003760F7" w:rsidRPr="00413DC9" w:rsidRDefault="003760F7" w:rsidP="00584FF4">
            <w:pPr>
              <w:spacing w:line="480" w:lineRule="auto"/>
              <w:rPr>
                <w:rFonts w:ascii="Arial Narrow" w:hAnsi="Arial Narrow"/>
              </w:rPr>
            </w:pPr>
            <w:r w:rsidRPr="00413DC9">
              <w:rPr>
                <w:rFonts w:ascii="Arial Narrow" w:hAnsi="Arial Narrow"/>
              </w:rPr>
              <w:t>5</w:t>
            </w:r>
          </w:p>
        </w:tc>
        <w:tc>
          <w:tcPr>
            <w:tcW w:w="1620" w:type="dxa"/>
          </w:tcPr>
          <w:p w14:paraId="164C6528" w14:textId="77777777" w:rsidR="003760F7" w:rsidRPr="00413DC9" w:rsidRDefault="003760F7" w:rsidP="00584FF4">
            <w:pPr>
              <w:spacing w:line="480" w:lineRule="auto"/>
              <w:rPr>
                <w:rFonts w:ascii="Arial Narrow" w:hAnsi="Arial Narrow"/>
              </w:rPr>
            </w:pPr>
            <w:r w:rsidRPr="00413DC9">
              <w:rPr>
                <w:rFonts w:ascii="Arial Narrow" w:hAnsi="Arial Narrow"/>
              </w:rPr>
              <w:t>3</w:t>
            </w:r>
          </w:p>
        </w:tc>
        <w:tc>
          <w:tcPr>
            <w:tcW w:w="1620" w:type="dxa"/>
          </w:tcPr>
          <w:p w14:paraId="0BD16A34" w14:textId="77777777" w:rsidR="003760F7" w:rsidRPr="00413DC9" w:rsidRDefault="003760F7" w:rsidP="00584FF4">
            <w:pPr>
              <w:spacing w:line="480" w:lineRule="auto"/>
              <w:rPr>
                <w:rFonts w:ascii="Arial Narrow" w:hAnsi="Arial Narrow"/>
              </w:rPr>
            </w:pPr>
            <w:r w:rsidRPr="00413DC9">
              <w:rPr>
                <w:rFonts w:ascii="Arial Narrow" w:hAnsi="Arial Narrow"/>
              </w:rPr>
              <w:t>0</w:t>
            </w:r>
          </w:p>
        </w:tc>
        <w:tc>
          <w:tcPr>
            <w:tcW w:w="1715" w:type="dxa"/>
          </w:tcPr>
          <w:p w14:paraId="7BE408FB" w14:textId="77777777" w:rsidR="003760F7" w:rsidRPr="00413DC9" w:rsidRDefault="003760F7" w:rsidP="00584FF4">
            <w:pPr>
              <w:spacing w:line="480" w:lineRule="auto"/>
              <w:rPr>
                <w:rFonts w:ascii="Arial Narrow" w:hAnsi="Arial Narrow"/>
              </w:rPr>
            </w:pPr>
            <w:r w:rsidRPr="00413DC9">
              <w:rPr>
                <w:rFonts w:ascii="Arial Narrow" w:hAnsi="Arial Narrow"/>
              </w:rPr>
              <w:t>208.0</w:t>
            </w:r>
          </w:p>
        </w:tc>
      </w:tr>
      <w:tr w:rsidR="00F42C40" w:rsidRPr="00413DC9" w14:paraId="23D5DF6C" w14:textId="77777777" w:rsidTr="009918D8">
        <w:tc>
          <w:tcPr>
            <w:tcW w:w="2245" w:type="dxa"/>
          </w:tcPr>
          <w:p w14:paraId="15E1CE2F" w14:textId="77777777" w:rsidR="003760F7" w:rsidRPr="00413DC9" w:rsidRDefault="003760F7" w:rsidP="00584FF4">
            <w:pPr>
              <w:spacing w:line="480" w:lineRule="auto"/>
              <w:rPr>
                <w:rFonts w:ascii="Arial Narrow" w:hAnsi="Arial Narrow"/>
              </w:rPr>
            </w:pPr>
            <w:r w:rsidRPr="00413DC9">
              <w:rPr>
                <w:rFonts w:ascii="Arial Narrow" w:hAnsi="Arial Narrow"/>
              </w:rPr>
              <w:t>Oct 2018 – Dec 2018</w:t>
            </w:r>
          </w:p>
        </w:tc>
        <w:tc>
          <w:tcPr>
            <w:tcW w:w="2160" w:type="dxa"/>
          </w:tcPr>
          <w:p w14:paraId="12AF94B4" w14:textId="77777777" w:rsidR="003760F7" w:rsidRPr="00413DC9" w:rsidRDefault="003760F7" w:rsidP="00584FF4">
            <w:pPr>
              <w:spacing w:line="480" w:lineRule="auto"/>
              <w:rPr>
                <w:rFonts w:ascii="Arial Narrow" w:hAnsi="Arial Narrow"/>
              </w:rPr>
            </w:pPr>
            <w:r w:rsidRPr="00413DC9">
              <w:rPr>
                <w:rFonts w:ascii="Arial Narrow" w:hAnsi="Arial Narrow"/>
              </w:rPr>
              <w:t>3</w:t>
            </w:r>
          </w:p>
        </w:tc>
        <w:tc>
          <w:tcPr>
            <w:tcW w:w="1620" w:type="dxa"/>
          </w:tcPr>
          <w:p w14:paraId="74E876A2" w14:textId="77777777" w:rsidR="003760F7" w:rsidRPr="00413DC9" w:rsidRDefault="003760F7" w:rsidP="00584FF4">
            <w:pPr>
              <w:spacing w:line="480" w:lineRule="auto"/>
              <w:rPr>
                <w:rFonts w:ascii="Arial Narrow" w:hAnsi="Arial Narrow"/>
              </w:rPr>
            </w:pPr>
            <w:r w:rsidRPr="00413DC9">
              <w:rPr>
                <w:rFonts w:ascii="Arial Narrow" w:hAnsi="Arial Narrow"/>
              </w:rPr>
              <w:t>3</w:t>
            </w:r>
          </w:p>
        </w:tc>
        <w:tc>
          <w:tcPr>
            <w:tcW w:w="1620" w:type="dxa"/>
          </w:tcPr>
          <w:p w14:paraId="151C1C5D" w14:textId="77777777" w:rsidR="003760F7" w:rsidRPr="00413DC9" w:rsidRDefault="003760F7" w:rsidP="00584FF4">
            <w:pPr>
              <w:spacing w:line="480" w:lineRule="auto"/>
              <w:rPr>
                <w:rFonts w:ascii="Arial Narrow" w:hAnsi="Arial Narrow"/>
              </w:rPr>
            </w:pPr>
            <w:r w:rsidRPr="00413DC9">
              <w:rPr>
                <w:rFonts w:ascii="Arial Narrow" w:hAnsi="Arial Narrow"/>
              </w:rPr>
              <w:t>0</w:t>
            </w:r>
          </w:p>
        </w:tc>
        <w:tc>
          <w:tcPr>
            <w:tcW w:w="1715" w:type="dxa"/>
          </w:tcPr>
          <w:p w14:paraId="7278EAD5" w14:textId="77777777" w:rsidR="003760F7" w:rsidRPr="00413DC9" w:rsidRDefault="003760F7" w:rsidP="00584FF4">
            <w:pPr>
              <w:keepNext/>
              <w:spacing w:line="480" w:lineRule="auto"/>
              <w:rPr>
                <w:rFonts w:ascii="Arial Narrow" w:hAnsi="Arial Narrow"/>
              </w:rPr>
            </w:pPr>
            <w:r w:rsidRPr="00413DC9">
              <w:rPr>
                <w:rFonts w:ascii="Arial Narrow" w:hAnsi="Arial Narrow"/>
              </w:rPr>
              <w:t>192.0</w:t>
            </w:r>
          </w:p>
        </w:tc>
      </w:tr>
    </w:tbl>
    <w:p w14:paraId="0B82BEA3" w14:textId="02354832" w:rsidR="00F1468A" w:rsidRPr="004D457D" w:rsidRDefault="00F1468A">
      <w:pPr>
        <w:pStyle w:val="Caption"/>
        <w:rPr>
          <w:rFonts w:ascii="Arial" w:hAnsi="Arial" w:cs="Arial"/>
          <w:sz w:val="20"/>
          <w:szCs w:val="20"/>
        </w:rPr>
      </w:pPr>
    </w:p>
    <w:p w14:paraId="492AE3F4" w14:textId="77777777" w:rsidR="003760F7" w:rsidRDefault="003760F7" w:rsidP="009121D3">
      <w:pPr>
        <w:pStyle w:val="BodyText"/>
      </w:pPr>
    </w:p>
    <w:p w14:paraId="27372F96" w14:textId="77777777" w:rsidR="007F5F8B" w:rsidRPr="004836C2" w:rsidRDefault="007F5F8B" w:rsidP="009121D3">
      <w:pPr>
        <w:pStyle w:val="BodyText"/>
      </w:pPr>
    </w:p>
    <w:p w14:paraId="5DE3D547" w14:textId="3055487C" w:rsidR="00F37C83" w:rsidRDefault="00881948" w:rsidP="004836C2">
      <w:pPr>
        <w:pStyle w:val="Head3"/>
      </w:pPr>
      <w:bookmarkStart w:id="68" w:name="_Toc228288437"/>
      <w:r>
        <w:t>Automated 7-Day Precipitation Forecasting</w:t>
      </w:r>
      <w:bookmarkEnd w:id="68"/>
    </w:p>
    <w:p w14:paraId="2C8E272A" w14:textId="0928AF21" w:rsidR="00AD6A9F" w:rsidRDefault="00AD6A9F" w:rsidP="00D06E6A">
      <w:pPr>
        <w:rPr>
          <w:rFonts w:eastAsia="Times New Roman"/>
          <w:b/>
        </w:rPr>
      </w:pPr>
      <w:r>
        <w:rPr>
          <w:rFonts w:eastAsia="Times New Roman" w:cs="Times New Roman"/>
        </w:rPr>
        <w:t xml:space="preserve">This </w:t>
      </w:r>
      <w:r w:rsidRPr="005A3410">
        <w:rPr>
          <w:rFonts w:eastAsia="Times New Roman"/>
          <w:bCs/>
        </w:rPr>
        <w:t xml:space="preserve">section of the </w:t>
      </w:r>
      <w:r w:rsidRPr="005A3410">
        <w:rPr>
          <w:rFonts w:eastAsia="Times New Roman" w:cs="Times New Roman"/>
          <w:bCs/>
        </w:rPr>
        <w:t>report</w:t>
      </w:r>
      <w:r>
        <w:rPr>
          <w:rFonts w:eastAsia="Times New Roman" w:cs="Times New Roman"/>
        </w:rPr>
        <w:t xml:space="preserve"> </w:t>
      </w:r>
      <w:r w:rsidR="006E467D" w:rsidRPr="006E467D">
        <w:rPr>
          <w:rFonts w:eastAsia="Times New Roman"/>
        </w:rPr>
        <w:t>documents the 7-day precipitation forecasting system for the four FSM monitoring locations and presents the forecast for March 10–16, 2026 as a demonstration of the operational output format and content. Detailed descriptions of the data sources, processing pipeline, and forecasting methodology are provided in Volume 1 of this report series. The present volume focuses on the system design, output products, and an illustrative forecast example.</w:t>
      </w:r>
    </w:p>
    <w:p w14:paraId="383855E4" w14:textId="2874FC5C" w:rsidR="0006028D" w:rsidRDefault="00756900" w:rsidP="00775B51">
      <w:pPr>
        <w:spacing w:after="0"/>
        <w:rPr>
          <w:rFonts w:ascii="Arial" w:hAnsi="Arial" w:cs="Arial"/>
          <w:b/>
          <w:bCs/>
          <w:i/>
          <w:iCs/>
          <w:sz w:val="22"/>
          <w:szCs w:val="22"/>
        </w:rPr>
      </w:pPr>
      <w:r w:rsidRPr="00756900">
        <w:rPr>
          <w:rFonts w:ascii="Arial" w:hAnsi="Arial" w:cs="Arial"/>
          <w:b/>
          <w:bCs/>
          <w:i/>
          <w:iCs/>
          <w:sz w:val="22"/>
          <w:szCs w:val="22"/>
        </w:rPr>
        <w:t>Forecasting System Overview</w:t>
      </w:r>
    </w:p>
    <w:p w14:paraId="5DA10164" w14:textId="77777777" w:rsidR="00963806" w:rsidRDefault="00963806" w:rsidP="00775B51">
      <w:r>
        <w:rPr>
          <w:rFonts w:eastAsia="Times New Roman" w:cs="Times New Roman"/>
        </w:rPr>
        <w:t>The forecasting methodology is described in detail in Volume 1 of this report series. In brief, the system retrieves daily precipitation forecasts from the NOAA Global Forecast System (GFS) at 0.25° spatial resolution for the 7-day forecast horizon. Total accumulated precipitation fields are downloaded from the NOAA NOMADS server in GRIB2 format, and daily totals are computed by summing the four 6-</w:t>
      </w:r>
      <w:proofErr w:type="gramStart"/>
      <w:r>
        <w:rPr>
          <w:rFonts w:eastAsia="Times New Roman" w:cs="Times New Roman"/>
        </w:rPr>
        <w:t>hourly</w:t>
      </w:r>
      <w:proofErr w:type="gramEnd"/>
      <w:r>
        <w:rPr>
          <w:rFonts w:eastAsia="Times New Roman" w:cs="Times New Roman"/>
        </w:rPr>
        <w:t xml:space="preserve"> accumulations within each 24-hour period. For each monitoring location, zonal statistics are extracted using a polygon shapefile, producing a 7-day daily precipitation time series. The processing pipeline is implemented in R using the terra, sf, </w:t>
      </w:r>
      <w:proofErr w:type="spellStart"/>
      <w:r>
        <w:rPr>
          <w:rFonts w:eastAsia="Times New Roman" w:cs="Times New Roman"/>
        </w:rPr>
        <w:t>tidyverse</w:t>
      </w:r>
      <w:proofErr w:type="spellEnd"/>
      <w:r>
        <w:rPr>
          <w:rFonts w:eastAsia="Times New Roman" w:cs="Times New Roman"/>
        </w:rPr>
        <w:t xml:space="preserve">, ggplot2, and </w:t>
      </w:r>
      <w:proofErr w:type="spellStart"/>
      <w:r>
        <w:rPr>
          <w:rFonts w:eastAsia="Times New Roman" w:cs="Times New Roman"/>
        </w:rPr>
        <w:t>magick</w:t>
      </w:r>
      <w:proofErr w:type="spellEnd"/>
      <w:r>
        <w:rPr>
          <w:rFonts w:eastAsia="Times New Roman" w:cs="Times New Roman"/>
        </w:rPr>
        <w:t xml:space="preserve"> packages.</w:t>
      </w:r>
    </w:p>
    <w:p w14:paraId="48D50ABF" w14:textId="564E5074" w:rsidR="00963806" w:rsidRDefault="00963806" w:rsidP="00775B51">
      <w:pPr>
        <w:ind w:firstLine="720"/>
      </w:pPr>
      <w:r>
        <w:rPr>
          <w:rFonts w:eastAsia="Times New Roman" w:cs="Times New Roman"/>
        </w:rPr>
        <w:t>The system generates individual and combined bar charts, animated GIF maps of forecast spatial distribution, and summary CSV tables for each forecast cycle, all packaged into a ZIP archive for distribution. Alert thresholds of 50 m</w:t>
      </w:r>
      <w:r w:rsidR="00FE3F8A">
        <w:rPr>
          <w:rFonts w:eastAsia="Times New Roman" w:cs="Times New Roman"/>
        </w:rPr>
        <w:t>m</w:t>
      </w:r>
      <w:r>
        <w:rPr>
          <w:rFonts w:eastAsia="Times New Roman" w:cs="Times New Roman"/>
        </w:rPr>
        <w:t xml:space="preserve"> per day and 200 m</w:t>
      </w:r>
      <w:r w:rsidR="00FE3F8A">
        <w:rPr>
          <w:rFonts w:eastAsia="Times New Roman" w:cs="Times New Roman"/>
        </w:rPr>
        <w:t>m</w:t>
      </w:r>
      <w:r>
        <w:rPr>
          <w:rFonts w:eastAsia="Times New Roman" w:cs="Times New Roman"/>
        </w:rPr>
        <w:t xml:space="preserve"> per 7-day total are applied to flag potential high-precipitation </w:t>
      </w:r>
      <w:r w:rsidRPr="00171C19">
        <w:rPr>
          <w:rFonts w:eastAsia="Times New Roman" w:cs="Times New Roman"/>
        </w:rPr>
        <w:t>events (</w:t>
      </w:r>
      <w:r w:rsidR="00171C19" w:rsidRPr="00171C19">
        <w:rPr>
          <w:rFonts w:eastAsia="Times New Roman" w:cs="Times New Roman"/>
        </w:rPr>
        <w:fldChar w:fldCharType="begin"/>
      </w:r>
      <w:r w:rsidR="00171C19" w:rsidRPr="00171C19">
        <w:rPr>
          <w:rFonts w:eastAsia="Times New Roman" w:cs="Times New Roman"/>
        </w:rPr>
        <w:instrText xml:space="preserve"> REF _Ref227410847 \h </w:instrText>
      </w:r>
      <w:r w:rsidR="00171C19">
        <w:rPr>
          <w:rFonts w:eastAsia="Times New Roman" w:cs="Times New Roman"/>
        </w:rPr>
        <w:instrText xml:space="preserve"> \* MERGEFORMAT </w:instrText>
      </w:r>
      <w:r w:rsidR="00171C19" w:rsidRPr="00171C19">
        <w:rPr>
          <w:rFonts w:eastAsia="Times New Roman" w:cs="Times New Roman"/>
        </w:rPr>
      </w:r>
      <w:r w:rsidR="00171C19" w:rsidRPr="00171C19">
        <w:rPr>
          <w:rFonts w:eastAsia="Times New Roman" w:cs="Times New Roman"/>
        </w:rPr>
        <w:fldChar w:fldCharType="separate"/>
      </w:r>
      <w:r w:rsidR="00171C19" w:rsidRPr="00171C19">
        <w:rPr>
          <w:rFonts w:cs="Times New Roman"/>
        </w:rPr>
        <w:t xml:space="preserve">Table </w:t>
      </w:r>
      <w:r w:rsidR="00171C19" w:rsidRPr="00171C19">
        <w:rPr>
          <w:rFonts w:cs="Times New Roman"/>
          <w:noProof/>
        </w:rPr>
        <w:t>3</w:t>
      </w:r>
      <w:r w:rsidR="00171C19" w:rsidRPr="00171C19">
        <w:rPr>
          <w:rFonts w:eastAsia="Times New Roman" w:cs="Times New Roman"/>
        </w:rPr>
        <w:fldChar w:fldCharType="end"/>
      </w:r>
      <w:r w:rsidRPr="00171C19">
        <w:rPr>
          <w:rFonts w:eastAsia="Times New Roman" w:cs="Times New Roman"/>
        </w:rPr>
        <w:t>). Forecast</w:t>
      </w:r>
      <w:r>
        <w:rPr>
          <w:rFonts w:eastAsia="Times New Roman" w:cs="Times New Roman"/>
        </w:rPr>
        <w:t xml:space="preserve"> products are compiled into HTML report format and distributed to designated recipients via automated email, enabling water managers to receive updated forecasts without manual intervention.</w:t>
      </w:r>
    </w:p>
    <w:p w14:paraId="597F4933" w14:textId="266D7984" w:rsidR="00975C3A" w:rsidRPr="00975C3A" w:rsidRDefault="00975C3A" w:rsidP="00975C3A">
      <w:pPr>
        <w:pStyle w:val="Caption"/>
        <w:keepNext/>
        <w:rPr>
          <w:rFonts w:ascii="Arial Narrow" w:hAnsi="Arial Narrow"/>
        </w:rPr>
      </w:pPr>
      <w:bookmarkStart w:id="69" w:name="_Ref227410847"/>
      <w:bookmarkStart w:id="70" w:name="_Toc228288463"/>
      <w:r w:rsidRPr="00975C3A">
        <w:rPr>
          <w:rFonts w:ascii="Arial Narrow" w:hAnsi="Arial Narrow"/>
        </w:rPr>
        <w:t xml:space="preserve">Table </w:t>
      </w:r>
      <w:r w:rsidRPr="00975C3A">
        <w:rPr>
          <w:rFonts w:ascii="Arial Narrow" w:hAnsi="Arial Narrow"/>
        </w:rPr>
        <w:fldChar w:fldCharType="begin"/>
      </w:r>
      <w:r w:rsidRPr="00975C3A">
        <w:rPr>
          <w:rFonts w:ascii="Arial Narrow" w:hAnsi="Arial Narrow"/>
        </w:rPr>
        <w:instrText xml:space="preserve"> SEQ Table \* ARABIC </w:instrText>
      </w:r>
      <w:r w:rsidRPr="00975C3A">
        <w:rPr>
          <w:rFonts w:ascii="Arial Narrow" w:hAnsi="Arial Narrow"/>
        </w:rPr>
        <w:fldChar w:fldCharType="separate"/>
      </w:r>
      <w:r w:rsidR="00244816">
        <w:rPr>
          <w:rFonts w:ascii="Arial Narrow" w:hAnsi="Arial Narrow"/>
          <w:noProof/>
        </w:rPr>
        <w:t>3</w:t>
      </w:r>
      <w:r w:rsidRPr="00975C3A">
        <w:rPr>
          <w:rFonts w:ascii="Arial Narrow" w:hAnsi="Arial Narrow"/>
        </w:rPr>
        <w:fldChar w:fldCharType="end"/>
      </w:r>
      <w:bookmarkEnd w:id="69"/>
      <w:r w:rsidRPr="00975C3A">
        <w:rPr>
          <w:rFonts w:ascii="Arial Narrow" w:hAnsi="Arial Narrow"/>
        </w:rPr>
        <w:t>. Alert thresholds applied to GFS precipitation forecasts.</w:t>
      </w:r>
      <w:bookmarkEnd w:id="70"/>
    </w:p>
    <w:tbl>
      <w:tblPr>
        <w:tblStyle w:val="TableGrid"/>
        <w:tblW w:w="9360" w:type="dxa"/>
        <w:tblLook w:val="04A0" w:firstRow="1" w:lastRow="0" w:firstColumn="1" w:lastColumn="0" w:noHBand="0" w:noVBand="1"/>
      </w:tblPr>
      <w:tblGrid>
        <w:gridCol w:w="2200"/>
        <w:gridCol w:w="1800"/>
        <w:gridCol w:w="5360"/>
      </w:tblGrid>
      <w:tr w:rsidR="00BF377E" w:rsidRPr="0039624A" w14:paraId="4A62EA76" w14:textId="77777777" w:rsidTr="00BF377E">
        <w:tc>
          <w:tcPr>
            <w:tcW w:w="2200" w:type="dxa"/>
          </w:tcPr>
          <w:p w14:paraId="300A298A" w14:textId="77777777" w:rsidR="00963806" w:rsidRPr="0039624A" w:rsidRDefault="00963806" w:rsidP="00775B51">
            <w:pPr>
              <w:spacing w:line="480" w:lineRule="auto"/>
              <w:rPr>
                <w:rFonts w:ascii="Arial Narrow" w:hAnsi="Arial Narrow"/>
              </w:rPr>
            </w:pPr>
            <w:r w:rsidRPr="0039624A">
              <w:rPr>
                <w:rFonts w:ascii="Arial Narrow" w:eastAsia="Times New Roman" w:hAnsi="Arial Narrow" w:cs="Times New Roman"/>
                <w:b/>
                <w:bCs/>
              </w:rPr>
              <w:t>Threshold</w:t>
            </w:r>
          </w:p>
        </w:tc>
        <w:tc>
          <w:tcPr>
            <w:tcW w:w="1800" w:type="dxa"/>
          </w:tcPr>
          <w:p w14:paraId="10E8590B" w14:textId="77777777" w:rsidR="00963806" w:rsidRPr="0039624A" w:rsidRDefault="00963806" w:rsidP="00775B51">
            <w:pPr>
              <w:spacing w:line="480" w:lineRule="auto"/>
              <w:rPr>
                <w:rFonts w:ascii="Arial Narrow" w:hAnsi="Arial Narrow"/>
              </w:rPr>
            </w:pPr>
            <w:r w:rsidRPr="0039624A">
              <w:rPr>
                <w:rFonts w:ascii="Arial Narrow" w:eastAsia="Times New Roman" w:hAnsi="Arial Narrow" w:cs="Times New Roman"/>
                <w:b/>
                <w:bCs/>
              </w:rPr>
              <w:t>Value</w:t>
            </w:r>
          </w:p>
        </w:tc>
        <w:tc>
          <w:tcPr>
            <w:tcW w:w="5360" w:type="dxa"/>
          </w:tcPr>
          <w:p w14:paraId="3CACC088" w14:textId="77777777" w:rsidR="00963806" w:rsidRPr="0039624A" w:rsidRDefault="00963806" w:rsidP="00775B51">
            <w:pPr>
              <w:spacing w:line="480" w:lineRule="auto"/>
              <w:rPr>
                <w:rFonts w:ascii="Arial Narrow" w:hAnsi="Arial Narrow"/>
              </w:rPr>
            </w:pPr>
            <w:r w:rsidRPr="0039624A">
              <w:rPr>
                <w:rFonts w:ascii="Arial Narrow" w:eastAsia="Times New Roman" w:hAnsi="Arial Narrow" w:cs="Times New Roman"/>
                <w:b/>
                <w:bCs/>
              </w:rPr>
              <w:t>Significance</w:t>
            </w:r>
          </w:p>
        </w:tc>
      </w:tr>
      <w:tr w:rsidR="00BF377E" w:rsidRPr="0039624A" w14:paraId="50DD537A" w14:textId="77777777" w:rsidTr="00BF377E">
        <w:tc>
          <w:tcPr>
            <w:tcW w:w="2200" w:type="dxa"/>
          </w:tcPr>
          <w:p w14:paraId="4FC98E87" w14:textId="77777777" w:rsidR="00963806" w:rsidRPr="0039624A" w:rsidRDefault="00963806" w:rsidP="00775B51">
            <w:pPr>
              <w:spacing w:line="480" w:lineRule="auto"/>
              <w:rPr>
                <w:rFonts w:ascii="Arial Narrow" w:hAnsi="Arial Narrow"/>
              </w:rPr>
            </w:pPr>
            <w:r w:rsidRPr="0039624A">
              <w:rPr>
                <w:rFonts w:ascii="Arial Narrow" w:eastAsia="Times New Roman" w:hAnsi="Arial Narrow" w:cs="Times New Roman"/>
              </w:rPr>
              <w:t>Daily precipitation</w:t>
            </w:r>
          </w:p>
        </w:tc>
        <w:tc>
          <w:tcPr>
            <w:tcW w:w="1800" w:type="dxa"/>
          </w:tcPr>
          <w:p w14:paraId="026DACD6" w14:textId="77777777" w:rsidR="00963806" w:rsidRPr="0039624A" w:rsidRDefault="00963806" w:rsidP="00775B51">
            <w:pPr>
              <w:spacing w:line="480" w:lineRule="auto"/>
              <w:rPr>
                <w:rFonts w:ascii="Arial Narrow" w:hAnsi="Arial Narrow"/>
              </w:rPr>
            </w:pPr>
            <w:r w:rsidRPr="0039624A">
              <w:rPr>
                <w:rFonts w:ascii="Arial Narrow" w:eastAsia="Times New Roman" w:hAnsi="Arial Narrow" w:cs="Times New Roman"/>
              </w:rPr>
              <w:t>≥ 50 mm</w:t>
            </w:r>
          </w:p>
        </w:tc>
        <w:tc>
          <w:tcPr>
            <w:tcW w:w="5360" w:type="dxa"/>
          </w:tcPr>
          <w:p w14:paraId="448C2E69" w14:textId="77777777" w:rsidR="00963806" w:rsidRPr="0039624A" w:rsidRDefault="00963806" w:rsidP="00775B51">
            <w:pPr>
              <w:spacing w:line="480" w:lineRule="auto"/>
              <w:rPr>
                <w:rFonts w:ascii="Arial Narrow" w:hAnsi="Arial Narrow"/>
              </w:rPr>
            </w:pPr>
            <w:r w:rsidRPr="0039624A">
              <w:rPr>
                <w:rFonts w:ascii="Arial Narrow" w:eastAsia="Times New Roman" w:hAnsi="Arial Narrow" w:cs="Times New Roman"/>
              </w:rPr>
              <w:t>Potential flood risk; heavy rainfall day</w:t>
            </w:r>
          </w:p>
        </w:tc>
      </w:tr>
      <w:tr w:rsidR="00BF377E" w:rsidRPr="0039624A" w14:paraId="576A0A94" w14:textId="77777777" w:rsidTr="00BF377E">
        <w:tc>
          <w:tcPr>
            <w:tcW w:w="2200" w:type="dxa"/>
          </w:tcPr>
          <w:p w14:paraId="55D85E4A" w14:textId="77777777" w:rsidR="00963806" w:rsidRPr="0039624A" w:rsidRDefault="00963806" w:rsidP="00775B51">
            <w:pPr>
              <w:spacing w:line="480" w:lineRule="auto"/>
              <w:rPr>
                <w:rFonts w:ascii="Arial Narrow" w:hAnsi="Arial Narrow"/>
              </w:rPr>
            </w:pPr>
            <w:r w:rsidRPr="0039624A">
              <w:rPr>
                <w:rFonts w:ascii="Arial Narrow" w:eastAsia="Times New Roman" w:hAnsi="Arial Narrow" w:cs="Times New Roman"/>
              </w:rPr>
              <w:t>7-day total</w:t>
            </w:r>
          </w:p>
        </w:tc>
        <w:tc>
          <w:tcPr>
            <w:tcW w:w="1800" w:type="dxa"/>
          </w:tcPr>
          <w:p w14:paraId="68A61718" w14:textId="77777777" w:rsidR="00963806" w:rsidRPr="0039624A" w:rsidRDefault="00963806" w:rsidP="00775B51">
            <w:pPr>
              <w:spacing w:line="480" w:lineRule="auto"/>
              <w:rPr>
                <w:rFonts w:ascii="Arial Narrow" w:hAnsi="Arial Narrow"/>
              </w:rPr>
            </w:pPr>
            <w:r w:rsidRPr="0039624A">
              <w:rPr>
                <w:rFonts w:ascii="Arial Narrow" w:eastAsia="Times New Roman" w:hAnsi="Arial Narrow" w:cs="Times New Roman"/>
              </w:rPr>
              <w:t>≥ 200 mm</w:t>
            </w:r>
          </w:p>
        </w:tc>
        <w:tc>
          <w:tcPr>
            <w:tcW w:w="5360" w:type="dxa"/>
          </w:tcPr>
          <w:p w14:paraId="46D0E83B" w14:textId="77777777" w:rsidR="00963806" w:rsidRPr="0039624A" w:rsidRDefault="00963806" w:rsidP="00775B51">
            <w:pPr>
              <w:keepNext/>
              <w:spacing w:line="480" w:lineRule="auto"/>
              <w:rPr>
                <w:rFonts w:ascii="Arial Narrow" w:hAnsi="Arial Narrow"/>
              </w:rPr>
            </w:pPr>
            <w:r w:rsidRPr="0039624A">
              <w:rPr>
                <w:rFonts w:ascii="Arial Narrow" w:eastAsia="Times New Roman" w:hAnsi="Arial Narrow" w:cs="Times New Roman"/>
              </w:rPr>
              <w:t>Sustained heavy precipitation over forecast period</w:t>
            </w:r>
          </w:p>
        </w:tc>
      </w:tr>
    </w:tbl>
    <w:p w14:paraId="67784434" w14:textId="54D8A16D" w:rsidR="00963806" w:rsidRPr="0039624A" w:rsidRDefault="00963806" w:rsidP="00775B51">
      <w:pPr>
        <w:pStyle w:val="Caption"/>
        <w:rPr>
          <w:rFonts w:ascii="Arial Narrow" w:hAnsi="Arial Narrow"/>
          <w:szCs w:val="24"/>
        </w:rPr>
      </w:pPr>
    </w:p>
    <w:p w14:paraId="623EAE50" w14:textId="1E605056" w:rsidR="00B213FA" w:rsidRDefault="00D9605A" w:rsidP="00775B51">
      <w:pPr>
        <w:spacing w:after="0"/>
        <w:rPr>
          <w:rFonts w:ascii="Arial" w:hAnsi="Arial" w:cs="Arial"/>
          <w:b/>
          <w:bCs/>
          <w:i/>
          <w:iCs/>
          <w:sz w:val="22"/>
          <w:szCs w:val="22"/>
        </w:rPr>
      </w:pPr>
      <w:r w:rsidRPr="00D9605A">
        <w:rPr>
          <w:rFonts w:ascii="Arial" w:hAnsi="Arial" w:cs="Arial"/>
          <w:b/>
          <w:bCs/>
          <w:i/>
          <w:iCs/>
          <w:sz w:val="22"/>
          <w:szCs w:val="22"/>
        </w:rPr>
        <w:t>Demonstration Forecast: March 10–16, 2026</w:t>
      </w:r>
    </w:p>
    <w:p w14:paraId="395CA2CF" w14:textId="77777777" w:rsidR="00E85A28" w:rsidRDefault="00E85A28" w:rsidP="00775B51">
      <w:r>
        <w:rPr>
          <w:rFonts w:eastAsia="Times New Roman" w:cs="Times New Roman"/>
        </w:rPr>
        <w:t xml:space="preserve">The following section presents the GFS precipitation forecast for March 10–16, 2026 (GFS model run 20260310, 12z cycle) as a demonstration of the operational output. This forecast period falls within the FSM dry season, when Yap </w:t>
      </w:r>
      <w:proofErr w:type="gramStart"/>
      <w:r>
        <w:rPr>
          <w:rFonts w:eastAsia="Times New Roman" w:cs="Times New Roman"/>
        </w:rPr>
        <w:t>in particular is</w:t>
      </w:r>
      <w:proofErr w:type="gramEnd"/>
      <w:r>
        <w:rPr>
          <w:rFonts w:eastAsia="Times New Roman" w:cs="Times New Roman"/>
        </w:rPr>
        <w:t xml:space="preserve"> climatologically vulnerable to low rainfall. The forecast results are presented as a combined overview followed by site-specific analysis.</w:t>
      </w:r>
    </w:p>
    <w:p w14:paraId="36B0DE98" w14:textId="77777777" w:rsidR="00EB327E" w:rsidRPr="00BE0460" w:rsidRDefault="00EB327E" w:rsidP="00775B51">
      <w:pPr>
        <w:spacing w:before="240" w:after="0"/>
        <w:rPr>
          <w:rFonts w:ascii="Arial" w:hAnsi="Arial" w:cs="Arial"/>
          <w:i/>
          <w:iCs/>
          <w:sz w:val="22"/>
          <w:szCs w:val="22"/>
        </w:rPr>
      </w:pPr>
      <w:r w:rsidRPr="00BE0460">
        <w:rPr>
          <w:rFonts w:ascii="Arial" w:hAnsi="Arial" w:cs="Arial"/>
          <w:i/>
          <w:iCs/>
          <w:sz w:val="22"/>
          <w:szCs w:val="22"/>
        </w:rPr>
        <w:t>Forecast</w:t>
      </w:r>
      <w:r w:rsidRPr="00BE0460">
        <w:rPr>
          <w:rFonts w:ascii="Arial" w:eastAsia="Times New Roman" w:hAnsi="Arial" w:cs="Arial"/>
          <w:b/>
          <w:bCs/>
          <w:i/>
          <w:iCs/>
          <w:sz w:val="22"/>
          <w:szCs w:val="22"/>
        </w:rPr>
        <w:t xml:space="preserve"> </w:t>
      </w:r>
      <w:r w:rsidRPr="00BE0460">
        <w:rPr>
          <w:rFonts w:ascii="Arial" w:hAnsi="Arial" w:cs="Arial"/>
          <w:i/>
          <w:iCs/>
          <w:sz w:val="22"/>
          <w:szCs w:val="22"/>
        </w:rPr>
        <w:t>Overview</w:t>
      </w:r>
    </w:p>
    <w:p w14:paraId="3A58312E" w14:textId="7BE49847" w:rsidR="00EB327E" w:rsidRDefault="005C54C7" w:rsidP="00775B51">
      <w:r w:rsidRPr="005C54C7">
        <w:rPr>
          <w:rFonts w:eastAsia="Times New Roman" w:cs="Times New Roman"/>
        </w:rPr>
        <w:fldChar w:fldCharType="begin"/>
      </w:r>
      <w:r w:rsidRPr="005C54C7">
        <w:rPr>
          <w:rFonts w:eastAsia="Times New Roman" w:cs="Times New Roman"/>
        </w:rPr>
        <w:instrText xml:space="preserve"> REF _Ref227410736 \h </w:instrText>
      </w:r>
      <w:r>
        <w:rPr>
          <w:rFonts w:eastAsia="Times New Roman" w:cs="Times New Roman"/>
        </w:rPr>
        <w:instrText xml:space="preserve"> \* MERGEFORMAT </w:instrText>
      </w:r>
      <w:r w:rsidRPr="005C54C7">
        <w:rPr>
          <w:rFonts w:eastAsia="Times New Roman" w:cs="Times New Roman"/>
        </w:rPr>
      </w:r>
      <w:r w:rsidRPr="005C54C7">
        <w:rPr>
          <w:rFonts w:eastAsia="Times New Roman" w:cs="Times New Roman"/>
        </w:rPr>
        <w:fldChar w:fldCharType="separate"/>
      </w:r>
      <w:r w:rsidRPr="005C54C7">
        <w:rPr>
          <w:rFonts w:cs="Times New Roman"/>
        </w:rPr>
        <w:t xml:space="preserve">Table </w:t>
      </w:r>
      <w:r w:rsidRPr="005C54C7">
        <w:rPr>
          <w:rFonts w:cs="Times New Roman"/>
          <w:noProof/>
        </w:rPr>
        <w:t>4</w:t>
      </w:r>
      <w:r w:rsidRPr="005C54C7">
        <w:rPr>
          <w:rFonts w:eastAsia="Times New Roman" w:cs="Times New Roman"/>
        </w:rPr>
        <w:fldChar w:fldCharType="end"/>
      </w:r>
      <w:r w:rsidRPr="005C54C7">
        <w:rPr>
          <w:rFonts w:eastAsia="Times New Roman" w:cs="Times New Roman"/>
        </w:rPr>
        <w:t xml:space="preserve"> </w:t>
      </w:r>
      <w:r w:rsidR="00EB327E" w:rsidRPr="005C54C7">
        <w:rPr>
          <w:rFonts w:eastAsia="Times New Roman" w:cs="Times New Roman"/>
        </w:rPr>
        <w:t>presents</w:t>
      </w:r>
      <w:r w:rsidR="00EB327E">
        <w:rPr>
          <w:rFonts w:eastAsia="Times New Roman" w:cs="Times New Roman"/>
        </w:rPr>
        <w:t xml:space="preserve"> the daily forecast precipitation for all four FSM locations for March 10–16, 2026. Seven-day forecast totals ranged from 43.2 m</w:t>
      </w:r>
      <w:r w:rsidR="00EC2761">
        <w:rPr>
          <w:rFonts w:eastAsia="Times New Roman" w:cs="Times New Roman"/>
        </w:rPr>
        <w:t>m</w:t>
      </w:r>
      <w:r w:rsidR="00EB327E">
        <w:rPr>
          <w:rFonts w:eastAsia="Times New Roman" w:cs="Times New Roman"/>
        </w:rPr>
        <w:t xml:space="preserve"> at Pohnpei to 64.5 m</w:t>
      </w:r>
      <w:r w:rsidR="00EC2761">
        <w:rPr>
          <w:rFonts w:eastAsia="Times New Roman" w:cs="Times New Roman"/>
        </w:rPr>
        <w:t>m</w:t>
      </w:r>
      <w:r w:rsidR="00EB327E">
        <w:rPr>
          <w:rFonts w:eastAsia="Times New Roman" w:cs="Times New Roman"/>
        </w:rPr>
        <w:t xml:space="preserve"> at Kosrae. No daily values exceeded the 50-m</w:t>
      </w:r>
      <w:r w:rsidR="00317073">
        <w:rPr>
          <w:rFonts w:eastAsia="Times New Roman" w:cs="Times New Roman"/>
        </w:rPr>
        <w:t>m</w:t>
      </w:r>
      <w:r w:rsidR="00EB327E">
        <w:rPr>
          <w:rFonts w:eastAsia="Times New Roman" w:cs="Times New Roman"/>
        </w:rPr>
        <w:t xml:space="preserve"> alert threshold, and no 7-day totals approached the 200-m</w:t>
      </w:r>
      <w:r w:rsidR="00317073">
        <w:rPr>
          <w:rFonts w:eastAsia="Times New Roman" w:cs="Times New Roman"/>
        </w:rPr>
        <w:t>m</w:t>
      </w:r>
      <w:r w:rsidR="00EB327E">
        <w:rPr>
          <w:rFonts w:eastAsia="Times New Roman" w:cs="Times New Roman"/>
        </w:rPr>
        <w:t xml:space="preserve"> threshold. The highest single-day forecast was 26.9 millimeters at Kosrae on Wednesday, March 11. All four sites show a broadly similar pattern of heavier rainfall at the beginning of the period tapering to lighter conditions by mid-week, with a secondary pulse at some sites toward the weekend.</w:t>
      </w:r>
    </w:p>
    <w:p w14:paraId="7D9DC79B" w14:textId="601D7C6A" w:rsidR="005D01E2" w:rsidRPr="005D01E2" w:rsidRDefault="005D01E2" w:rsidP="005D01E2">
      <w:pPr>
        <w:pStyle w:val="Caption"/>
        <w:keepNext/>
        <w:rPr>
          <w:rFonts w:ascii="Arial Narrow" w:hAnsi="Arial Narrow"/>
          <w:szCs w:val="24"/>
        </w:rPr>
      </w:pPr>
      <w:bookmarkStart w:id="71" w:name="_Ref227410736"/>
      <w:bookmarkStart w:id="72" w:name="_Toc228288464"/>
      <w:r w:rsidRPr="005D01E2">
        <w:rPr>
          <w:rFonts w:ascii="Arial Narrow" w:hAnsi="Arial Narrow"/>
          <w:szCs w:val="24"/>
        </w:rPr>
        <w:t xml:space="preserve">Table </w:t>
      </w:r>
      <w:r w:rsidRPr="005D01E2">
        <w:rPr>
          <w:rFonts w:ascii="Arial Narrow" w:hAnsi="Arial Narrow"/>
          <w:szCs w:val="24"/>
        </w:rPr>
        <w:fldChar w:fldCharType="begin"/>
      </w:r>
      <w:r w:rsidRPr="005D01E2">
        <w:rPr>
          <w:rFonts w:ascii="Arial Narrow" w:hAnsi="Arial Narrow"/>
          <w:szCs w:val="24"/>
        </w:rPr>
        <w:instrText xml:space="preserve"> SEQ Table \* ARABIC </w:instrText>
      </w:r>
      <w:r w:rsidRPr="005D01E2">
        <w:rPr>
          <w:rFonts w:ascii="Arial Narrow" w:hAnsi="Arial Narrow"/>
          <w:szCs w:val="24"/>
        </w:rPr>
        <w:fldChar w:fldCharType="separate"/>
      </w:r>
      <w:r w:rsidR="00244816">
        <w:rPr>
          <w:rFonts w:ascii="Arial Narrow" w:hAnsi="Arial Narrow"/>
          <w:noProof/>
          <w:szCs w:val="24"/>
        </w:rPr>
        <w:t>4</w:t>
      </w:r>
      <w:r w:rsidRPr="005D01E2">
        <w:rPr>
          <w:rFonts w:ascii="Arial Narrow" w:hAnsi="Arial Narrow"/>
          <w:szCs w:val="24"/>
        </w:rPr>
        <w:fldChar w:fldCharType="end"/>
      </w:r>
      <w:bookmarkEnd w:id="71"/>
      <w:r w:rsidRPr="005D01E2">
        <w:rPr>
          <w:rFonts w:ascii="Arial Narrow" w:hAnsi="Arial Narrow"/>
          <w:szCs w:val="24"/>
        </w:rPr>
        <w:t>. GFS 7-day precipitation forecast (m</w:t>
      </w:r>
      <w:r w:rsidR="00317073">
        <w:rPr>
          <w:rFonts w:ascii="Arial Narrow" w:hAnsi="Arial Narrow"/>
          <w:szCs w:val="24"/>
        </w:rPr>
        <w:t>m</w:t>
      </w:r>
      <w:r w:rsidRPr="005D01E2">
        <w:rPr>
          <w:rFonts w:ascii="Arial Narrow" w:hAnsi="Arial Narrow"/>
          <w:szCs w:val="24"/>
        </w:rPr>
        <w:t xml:space="preserve">) for FSM </w:t>
      </w:r>
      <w:r w:rsidR="002C4044">
        <w:rPr>
          <w:rFonts w:ascii="Arial Narrow" w:hAnsi="Arial Narrow"/>
          <w:szCs w:val="24"/>
        </w:rPr>
        <w:t>study</w:t>
      </w:r>
      <w:r w:rsidRPr="005D01E2">
        <w:rPr>
          <w:rFonts w:ascii="Arial Narrow" w:hAnsi="Arial Narrow"/>
          <w:szCs w:val="24"/>
        </w:rPr>
        <w:t xml:space="preserve"> locations, March 10–16, 2026. GFS model </w:t>
      </w:r>
      <w:proofErr w:type="gramStart"/>
      <w:r w:rsidRPr="005D01E2">
        <w:rPr>
          <w:rFonts w:ascii="Arial Narrow" w:hAnsi="Arial Narrow"/>
          <w:szCs w:val="24"/>
        </w:rPr>
        <w:t>run</w:t>
      </w:r>
      <w:proofErr w:type="gramEnd"/>
      <w:r w:rsidRPr="005D01E2">
        <w:rPr>
          <w:rFonts w:ascii="Arial Narrow" w:hAnsi="Arial Narrow"/>
          <w:szCs w:val="24"/>
        </w:rPr>
        <w:t xml:space="preserve"> 20260310, 12z cycle. No daily or weekly alert thresholds were exceeded.</w:t>
      </w:r>
      <w:bookmarkEnd w:id="72"/>
    </w:p>
    <w:tbl>
      <w:tblPr>
        <w:tblStyle w:val="TableGrid"/>
        <w:tblW w:w="9360" w:type="dxa"/>
        <w:tblLook w:val="04A0" w:firstRow="1" w:lastRow="0" w:firstColumn="1" w:lastColumn="0" w:noHBand="0" w:noVBand="1"/>
      </w:tblPr>
      <w:tblGrid>
        <w:gridCol w:w="1300"/>
        <w:gridCol w:w="1000"/>
        <w:gridCol w:w="1000"/>
        <w:gridCol w:w="1000"/>
        <w:gridCol w:w="1000"/>
        <w:gridCol w:w="1000"/>
        <w:gridCol w:w="1000"/>
        <w:gridCol w:w="1000"/>
        <w:gridCol w:w="1060"/>
      </w:tblGrid>
      <w:tr w:rsidR="003A00B0" w:rsidRPr="005D01E2" w14:paraId="12086A1B" w14:textId="77777777" w:rsidTr="005D01E2">
        <w:tc>
          <w:tcPr>
            <w:tcW w:w="1300" w:type="dxa"/>
          </w:tcPr>
          <w:p w14:paraId="646381E2" w14:textId="77777777" w:rsidR="00EB327E" w:rsidRPr="005D01E2" w:rsidRDefault="00EB327E" w:rsidP="00775B51">
            <w:pPr>
              <w:spacing w:line="480" w:lineRule="auto"/>
              <w:rPr>
                <w:rFonts w:ascii="Arial Narrow" w:hAnsi="Arial Narrow"/>
              </w:rPr>
            </w:pPr>
            <w:r w:rsidRPr="005D01E2">
              <w:rPr>
                <w:rFonts w:ascii="Arial Narrow" w:eastAsia="Times New Roman" w:hAnsi="Arial Narrow" w:cs="Times New Roman"/>
                <w:b/>
                <w:bCs/>
              </w:rPr>
              <w:t>Location</w:t>
            </w:r>
          </w:p>
        </w:tc>
        <w:tc>
          <w:tcPr>
            <w:tcW w:w="1000" w:type="dxa"/>
          </w:tcPr>
          <w:p w14:paraId="587AA294" w14:textId="77777777" w:rsidR="00EB327E" w:rsidRPr="005D01E2" w:rsidRDefault="00EB327E" w:rsidP="00775B51">
            <w:pPr>
              <w:spacing w:line="480" w:lineRule="auto"/>
              <w:rPr>
                <w:rFonts w:ascii="Arial Narrow" w:hAnsi="Arial Narrow"/>
              </w:rPr>
            </w:pPr>
            <w:r w:rsidRPr="005D01E2">
              <w:rPr>
                <w:rFonts w:ascii="Arial Narrow" w:eastAsia="Times New Roman" w:hAnsi="Arial Narrow" w:cs="Times New Roman"/>
                <w:b/>
                <w:bCs/>
              </w:rPr>
              <w:t>Tue 10 Mar</w:t>
            </w:r>
          </w:p>
        </w:tc>
        <w:tc>
          <w:tcPr>
            <w:tcW w:w="1000" w:type="dxa"/>
          </w:tcPr>
          <w:p w14:paraId="73BBDBAF" w14:textId="77777777" w:rsidR="00EB327E" w:rsidRPr="005D01E2" w:rsidRDefault="00EB327E" w:rsidP="00775B51">
            <w:pPr>
              <w:spacing w:line="480" w:lineRule="auto"/>
              <w:rPr>
                <w:rFonts w:ascii="Arial Narrow" w:hAnsi="Arial Narrow"/>
              </w:rPr>
            </w:pPr>
            <w:r w:rsidRPr="005D01E2">
              <w:rPr>
                <w:rFonts w:ascii="Arial Narrow" w:eastAsia="Times New Roman" w:hAnsi="Arial Narrow" w:cs="Times New Roman"/>
                <w:b/>
                <w:bCs/>
              </w:rPr>
              <w:t>Wed 11 Mar</w:t>
            </w:r>
          </w:p>
        </w:tc>
        <w:tc>
          <w:tcPr>
            <w:tcW w:w="1000" w:type="dxa"/>
          </w:tcPr>
          <w:p w14:paraId="08E7B333" w14:textId="77777777" w:rsidR="00EB327E" w:rsidRPr="005D01E2" w:rsidRDefault="00EB327E" w:rsidP="00775B51">
            <w:pPr>
              <w:spacing w:line="480" w:lineRule="auto"/>
              <w:rPr>
                <w:rFonts w:ascii="Arial Narrow" w:hAnsi="Arial Narrow"/>
              </w:rPr>
            </w:pPr>
            <w:r w:rsidRPr="005D01E2">
              <w:rPr>
                <w:rFonts w:ascii="Arial Narrow" w:eastAsia="Times New Roman" w:hAnsi="Arial Narrow" w:cs="Times New Roman"/>
                <w:b/>
                <w:bCs/>
              </w:rPr>
              <w:t>Thu 12 Mar</w:t>
            </w:r>
          </w:p>
        </w:tc>
        <w:tc>
          <w:tcPr>
            <w:tcW w:w="1000" w:type="dxa"/>
          </w:tcPr>
          <w:p w14:paraId="3BD27149" w14:textId="77777777" w:rsidR="00EB327E" w:rsidRPr="005D01E2" w:rsidRDefault="00EB327E" w:rsidP="00775B51">
            <w:pPr>
              <w:spacing w:line="480" w:lineRule="auto"/>
              <w:rPr>
                <w:rFonts w:ascii="Arial Narrow" w:hAnsi="Arial Narrow"/>
              </w:rPr>
            </w:pPr>
            <w:r w:rsidRPr="005D01E2">
              <w:rPr>
                <w:rFonts w:ascii="Arial Narrow" w:eastAsia="Times New Roman" w:hAnsi="Arial Narrow" w:cs="Times New Roman"/>
                <w:b/>
                <w:bCs/>
              </w:rPr>
              <w:t>Fri 13 Mar</w:t>
            </w:r>
          </w:p>
        </w:tc>
        <w:tc>
          <w:tcPr>
            <w:tcW w:w="1000" w:type="dxa"/>
          </w:tcPr>
          <w:p w14:paraId="1350DB7C" w14:textId="77777777" w:rsidR="00EB327E" w:rsidRPr="005D01E2" w:rsidRDefault="00EB327E" w:rsidP="00775B51">
            <w:pPr>
              <w:spacing w:line="480" w:lineRule="auto"/>
              <w:rPr>
                <w:rFonts w:ascii="Arial Narrow" w:hAnsi="Arial Narrow"/>
              </w:rPr>
            </w:pPr>
            <w:r w:rsidRPr="005D01E2">
              <w:rPr>
                <w:rFonts w:ascii="Arial Narrow" w:eastAsia="Times New Roman" w:hAnsi="Arial Narrow" w:cs="Times New Roman"/>
                <w:b/>
                <w:bCs/>
              </w:rPr>
              <w:t>Sat 14 Mar</w:t>
            </w:r>
          </w:p>
        </w:tc>
        <w:tc>
          <w:tcPr>
            <w:tcW w:w="1000" w:type="dxa"/>
          </w:tcPr>
          <w:p w14:paraId="2000CEFC" w14:textId="77777777" w:rsidR="00EB327E" w:rsidRPr="005D01E2" w:rsidRDefault="00EB327E" w:rsidP="00775B51">
            <w:pPr>
              <w:spacing w:line="480" w:lineRule="auto"/>
              <w:rPr>
                <w:rFonts w:ascii="Arial Narrow" w:hAnsi="Arial Narrow"/>
              </w:rPr>
            </w:pPr>
            <w:r w:rsidRPr="005D01E2">
              <w:rPr>
                <w:rFonts w:ascii="Arial Narrow" w:eastAsia="Times New Roman" w:hAnsi="Arial Narrow" w:cs="Times New Roman"/>
                <w:b/>
                <w:bCs/>
              </w:rPr>
              <w:t>Sun 15 Mar</w:t>
            </w:r>
          </w:p>
        </w:tc>
        <w:tc>
          <w:tcPr>
            <w:tcW w:w="1000" w:type="dxa"/>
          </w:tcPr>
          <w:p w14:paraId="5A115018" w14:textId="77777777" w:rsidR="00EB327E" w:rsidRPr="005D01E2" w:rsidRDefault="00EB327E" w:rsidP="00775B51">
            <w:pPr>
              <w:spacing w:line="480" w:lineRule="auto"/>
              <w:rPr>
                <w:rFonts w:ascii="Arial Narrow" w:hAnsi="Arial Narrow"/>
              </w:rPr>
            </w:pPr>
            <w:r w:rsidRPr="005D01E2">
              <w:rPr>
                <w:rFonts w:ascii="Arial Narrow" w:eastAsia="Times New Roman" w:hAnsi="Arial Narrow" w:cs="Times New Roman"/>
                <w:b/>
                <w:bCs/>
              </w:rPr>
              <w:t>Mon 16 Mar</w:t>
            </w:r>
          </w:p>
        </w:tc>
        <w:tc>
          <w:tcPr>
            <w:tcW w:w="1060" w:type="dxa"/>
          </w:tcPr>
          <w:p w14:paraId="653A8B8C" w14:textId="77777777" w:rsidR="00EB327E" w:rsidRPr="005D01E2" w:rsidRDefault="00EB327E" w:rsidP="00775B51">
            <w:pPr>
              <w:spacing w:line="480" w:lineRule="auto"/>
              <w:rPr>
                <w:rFonts w:ascii="Arial Narrow" w:hAnsi="Arial Narrow"/>
              </w:rPr>
            </w:pPr>
            <w:r w:rsidRPr="005D01E2">
              <w:rPr>
                <w:rFonts w:ascii="Arial Narrow" w:eastAsia="Times New Roman" w:hAnsi="Arial Narrow" w:cs="Times New Roman"/>
                <w:b/>
                <w:bCs/>
              </w:rPr>
              <w:t>7-Day Total</w:t>
            </w:r>
          </w:p>
        </w:tc>
      </w:tr>
      <w:tr w:rsidR="003A00B0" w:rsidRPr="005D01E2" w14:paraId="2A8E02E8" w14:textId="77777777" w:rsidTr="005D01E2">
        <w:tc>
          <w:tcPr>
            <w:tcW w:w="1300" w:type="dxa"/>
          </w:tcPr>
          <w:p w14:paraId="67DB4507" w14:textId="77777777" w:rsidR="00EB327E" w:rsidRPr="005D01E2" w:rsidRDefault="00EB327E" w:rsidP="00775B51">
            <w:pPr>
              <w:spacing w:line="480" w:lineRule="auto"/>
              <w:rPr>
                <w:rFonts w:ascii="Arial Narrow" w:hAnsi="Arial Narrow"/>
              </w:rPr>
            </w:pPr>
            <w:r w:rsidRPr="005D01E2">
              <w:rPr>
                <w:rFonts w:ascii="Arial Narrow" w:eastAsia="Times New Roman" w:hAnsi="Arial Narrow" w:cs="Times New Roman"/>
              </w:rPr>
              <w:t>Yap</w:t>
            </w:r>
          </w:p>
        </w:tc>
        <w:tc>
          <w:tcPr>
            <w:tcW w:w="1000" w:type="dxa"/>
          </w:tcPr>
          <w:p w14:paraId="61F418B9" w14:textId="77777777" w:rsidR="00EB327E" w:rsidRPr="005D01E2" w:rsidRDefault="00EB327E" w:rsidP="00775B51">
            <w:pPr>
              <w:spacing w:line="480" w:lineRule="auto"/>
              <w:rPr>
                <w:rFonts w:ascii="Arial Narrow" w:hAnsi="Arial Narrow"/>
              </w:rPr>
            </w:pPr>
            <w:r w:rsidRPr="005D01E2">
              <w:rPr>
                <w:rFonts w:ascii="Arial Narrow" w:eastAsia="Times New Roman" w:hAnsi="Arial Narrow" w:cs="Times New Roman"/>
              </w:rPr>
              <w:t>17.7</w:t>
            </w:r>
          </w:p>
        </w:tc>
        <w:tc>
          <w:tcPr>
            <w:tcW w:w="1000" w:type="dxa"/>
          </w:tcPr>
          <w:p w14:paraId="6C6562B9" w14:textId="77777777" w:rsidR="00EB327E" w:rsidRPr="005D01E2" w:rsidRDefault="00EB327E" w:rsidP="00775B51">
            <w:pPr>
              <w:spacing w:line="480" w:lineRule="auto"/>
              <w:rPr>
                <w:rFonts w:ascii="Arial Narrow" w:hAnsi="Arial Narrow"/>
              </w:rPr>
            </w:pPr>
            <w:r w:rsidRPr="005D01E2">
              <w:rPr>
                <w:rFonts w:ascii="Arial Narrow" w:eastAsia="Times New Roman" w:hAnsi="Arial Narrow" w:cs="Times New Roman"/>
              </w:rPr>
              <w:t>16.9</w:t>
            </w:r>
          </w:p>
        </w:tc>
        <w:tc>
          <w:tcPr>
            <w:tcW w:w="1000" w:type="dxa"/>
          </w:tcPr>
          <w:p w14:paraId="0889342B" w14:textId="77777777" w:rsidR="00EB327E" w:rsidRPr="005D01E2" w:rsidRDefault="00EB327E" w:rsidP="00775B51">
            <w:pPr>
              <w:spacing w:line="480" w:lineRule="auto"/>
              <w:rPr>
                <w:rFonts w:ascii="Arial Narrow" w:hAnsi="Arial Narrow"/>
              </w:rPr>
            </w:pPr>
            <w:r w:rsidRPr="005D01E2">
              <w:rPr>
                <w:rFonts w:ascii="Arial Narrow" w:eastAsia="Times New Roman" w:hAnsi="Arial Narrow" w:cs="Times New Roman"/>
              </w:rPr>
              <w:t>6.7</w:t>
            </w:r>
          </w:p>
        </w:tc>
        <w:tc>
          <w:tcPr>
            <w:tcW w:w="1000" w:type="dxa"/>
          </w:tcPr>
          <w:p w14:paraId="12A30AE6" w14:textId="77777777" w:rsidR="00EB327E" w:rsidRPr="005D01E2" w:rsidRDefault="00EB327E" w:rsidP="00775B51">
            <w:pPr>
              <w:spacing w:line="480" w:lineRule="auto"/>
              <w:rPr>
                <w:rFonts w:ascii="Arial Narrow" w:hAnsi="Arial Narrow"/>
              </w:rPr>
            </w:pPr>
            <w:r w:rsidRPr="005D01E2">
              <w:rPr>
                <w:rFonts w:ascii="Arial Narrow" w:eastAsia="Times New Roman" w:hAnsi="Arial Narrow" w:cs="Times New Roman"/>
              </w:rPr>
              <w:t>9.5</w:t>
            </w:r>
          </w:p>
        </w:tc>
        <w:tc>
          <w:tcPr>
            <w:tcW w:w="1000" w:type="dxa"/>
          </w:tcPr>
          <w:p w14:paraId="13E5D2A7" w14:textId="77777777" w:rsidR="00EB327E" w:rsidRPr="005D01E2" w:rsidRDefault="00EB327E" w:rsidP="00775B51">
            <w:pPr>
              <w:spacing w:line="480" w:lineRule="auto"/>
              <w:rPr>
                <w:rFonts w:ascii="Arial Narrow" w:hAnsi="Arial Narrow"/>
              </w:rPr>
            </w:pPr>
            <w:r w:rsidRPr="005D01E2">
              <w:rPr>
                <w:rFonts w:ascii="Arial Narrow" w:eastAsia="Times New Roman" w:hAnsi="Arial Narrow" w:cs="Times New Roman"/>
              </w:rPr>
              <w:t>4.0</w:t>
            </w:r>
          </w:p>
        </w:tc>
        <w:tc>
          <w:tcPr>
            <w:tcW w:w="1000" w:type="dxa"/>
          </w:tcPr>
          <w:p w14:paraId="72CF13E0" w14:textId="77777777" w:rsidR="00EB327E" w:rsidRPr="005D01E2" w:rsidRDefault="00EB327E" w:rsidP="00775B51">
            <w:pPr>
              <w:spacing w:line="480" w:lineRule="auto"/>
              <w:rPr>
                <w:rFonts w:ascii="Arial Narrow" w:hAnsi="Arial Narrow"/>
              </w:rPr>
            </w:pPr>
            <w:r w:rsidRPr="005D01E2">
              <w:rPr>
                <w:rFonts w:ascii="Arial Narrow" w:eastAsia="Times New Roman" w:hAnsi="Arial Narrow" w:cs="Times New Roman"/>
              </w:rPr>
              <w:t>8.5</w:t>
            </w:r>
          </w:p>
        </w:tc>
        <w:tc>
          <w:tcPr>
            <w:tcW w:w="1000" w:type="dxa"/>
          </w:tcPr>
          <w:p w14:paraId="0D3A75F5" w14:textId="77777777" w:rsidR="00EB327E" w:rsidRPr="005D01E2" w:rsidRDefault="00EB327E" w:rsidP="00775B51">
            <w:pPr>
              <w:spacing w:line="480" w:lineRule="auto"/>
              <w:rPr>
                <w:rFonts w:ascii="Arial Narrow" w:hAnsi="Arial Narrow"/>
              </w:rPr>
            </w:pPr>
            <w:r w:rsidRPr="005D01E2">
              <w:rPr>
                <w:rFonts w:ascii="Arial Narrow" w:eastAsia="Times New Roman" w:hAnsi="Arial Narrow" w:cs="Times New Roman"/>
              </w:rPr>
              <w:t>0.3</w:t>
            </w:r>
          </w:p>
        </w:tc>
        <w:tc>
          <w:tcPr>
            <w:tcW w:w="1060" w:type="dxa"/>
          </w:tcPr>
          <w:p w14:paraId="16CBFBF7" w14:textId="77777777" w:rsidR="00EB327E" w:rsidRPr="005D01E2" w:rsidRDefault="00EB327E" w:rsidP="00775B51">
            <w:pPr>
              <w:spacing w:line="480" w:lineRule="auto"/>
              <w:rPr>
                <w:rFonts w:ascii="Arial Narrow" w:hAnsi="Arial Narrow"/>
              </w:rPr>
            </w:pPr>
            <w:r w:rsidRPr="005D01E2">
              <w:rPr>
                <w:rFonts w:ascii="Arial Narrow" w:eastAsia="Times New Roman" w:hAnsi="Arial Narrow" w:cs="Times New Roman"/>
              </w:rPr>
              <w:t>63.6</w:t>
            </w:r>
          </w:p>
        </w:tc>
      </w:tr>
      <w:tr w:rsidR="003A00B0" w:rsidRPr="005D01E2" w14:paraId="3AA52EED" w14:textId="77777777" w:rsidTr="005D01E2">
        <w:tc>
          <w:tcPr>
            <w:tcW w:w="1300" w:type="dxa"/>
          </w:tcPr>
          <w:p w14:paraId="25123F65" w14:textId="77777777" w:rsidR="00EB327E" w:rsidRPr="005D01E2" w:rsidRDefault="00EB327E" w:rsidP="00775B51">
            <w:pPr>
              <w:spacing w:line="480" w:lineRule="auto"/>
              <w:rPr>
                <w:rFonts w:ascii="Arial Narrow" w:hAnsi="Arial Narrow"/>
              </w:rPr>
            </w:pPr>
            <w:r w:rsidRPr="005D01E2">
              <w:rPr>
                <w:rFonts w:ascii="Arial Narrow" w:eastAsia="Times New Roman" w:hAnsi="Arial Narrow" w:cs="Times New Roman"/>
              </w:rPr>
              <w:t>Weno</w:t>
            </w:r>
          </w:p>
        </w:tc>
        <w:tc>
          <w:tcPr>
            <w:tcW w:w="1000" w:type="dxa"/>
          </w:tcPr>
          <w:p w14:paraId="4816D99C" w14:textId="77777777" w:rsidR="00EB327E" w:rsidRPr="005D01E2" w:rsidRDefault="00EB327E" w:rsidP="00775B51">
            <w:pPr>
              <w:spacing w:line="480" w:lineRule="auto"/>
              <w:rPr>
                <w:rFonts w:ascii="Arial Narrow" w:hAnsi="Arial Narrow"/>
              </w:rPr>
            </w:pPr>
            <w:r w:rsidRPr="005D01E2">
              <w:rPr>
                <w:rFonts w:ascii="Arial Narrow" w:eastAsia="Times New Roman" w:hAnsi="Arial Narrow" w:cs="Times New Roman"/>
              </w:rPr>
              <w:t>18.5</w:t>
            </w:r>
          </w:p>
        </w:tc>
        <w:tc>
          <w:tcPr>
            <w:tcW w:w="1000" w:type="dxa"/>
          </w:tcPr>
          <w:p w14:paraId="2FA7204C" w14:textId="77777777" w:rsidR="00EB327E" w:rsidRPr="005D01E2" w:rsidRDefault="00EB327E" w:rsidP="00775B51">
            <w:pPr>
              <w:spacing w:line="480" w:lineRule="auto"/>
              <w:rPr>
                <w:rFonts w:ascii="Arial Narrow" w:hAnsi="Arial Narrow"/>
              </w:rPr>
            </w:pPr>
            <w:r w:rsidRPr="005D01E2">
              <w:rPr>
                <w:rFonts w:ascii="Arial Narrow" w:eastAsia="Times New Roman" w:hAnsi="Arial Narrow" w:cs="Times New Roman"/>
              </w:rPr>
              <w:t>2.3</w:t>
            </w:r>
          </w:p>
        </w:tc>
        <w:tc>
          <w:tcPr>
            <w:tcW w:w="1000" w:type="dxa"/>
          </w:tcPr>
          <w:p w14:paraId="398EC94B" w14:textId="77777777" w:rsidR="00EB327E" w:rsidRPr="005D01E2" w:rsidRDefault="00EB327E" w:rsidP="00775B51">
            <w:pPr>
              <w:spacing w:line="480" w:lineRule="auto"/>
              <w:rPr>
                <w:rFonts w:ascii="Arial Narrow" w:hAnsi="Arial Narrow"/>
              </w:rPr>
            </w:pPr>
            <w:r w:rsidRPr="005D01E2">
              <w:rPr>
                <w:rFonts w:ascii="Arial Narrow" w:eastAsia="Times New Roman" w:hAnsi="Arial Narrow" w:cs="Times New Roman"/>
              </w:rPr>
              <w:t>0.0</w:t>
            </w:r>
          </w:p>
        </w:tc>
        <w:tc>
          <w:tcPr>
            <w:tcW w:w="1000" w:type="dxa"/>
          </w:tcPr>
          <w:p w14:paraId="35CD193D" w14:textId="77777777" w:rsidR="00EB327E" w:rsidRPr="005D01E2" w:rsidRDefault="00EB327E" w:rsidP="00775B51">
            <w:pPr>
              <w:spacing w:line="480" w:lineRule="auto"/>
              <w:rPr>
                <w:rFonts w:ascii="Arial Narrow" w:hAnsi="Arial Narrow"/>
              </w:rPr>
            </w:pPr>
            <w:r w:rsidRPr="005D01E2">
              <w:rPr>
                <w:rFonts w:ascii="Arial Narrow" w:eastAsia="Times New Roman" w:hAnsi="Arial Narrow" w:cs="Times New Roman"/>
              </w:rPr>
              <w:t>2.9</w:t>
            </w:r>
          </w:p>
        </w:tc>
        <w:tc>
          <w:tcPr>
            <w:tcW w:w="1000" w:type="dxa"/>
          </w:tcPr>
          <w:p w14:paraId="184E0E95" w14:textId="77777777" w:rsidR="00EB327E" w:rsidRPr="005D01E2" w:rsidRDefault="00EB327E" w:rsidP="00775B51">
            <w:pPr>
              <w:spacing w:line="480" w:lineRule="auto"/>
              <w:rPr>
                <w:rFonts w:ascii="Arial Narrow" w:hAnsi="Arial Narrow"/>
              </w:rPr>
            </w:pPr>
            <w:r w:rsidRPr="005D01E2">
              <w:rPr>
                <w:rFonts w:ascii="Arial Narrow" w:eastAsia="Times New Roman" w:hAnsi="Arial Narrow" w:cs="Times New Roman"/>
              </w:rPr>
              <w:t>0.9</w:t>
            </w:r>
          </w:p>
        </w:tc>
        <w:tc>
          <w:tcPr>
            <w:tcW w:w="1000" w:type="dxa"/>
          </w:tcPr>
          <w:p w14:paraId="0592204E" w14:textId="77777777" w:rsidR="00EB327E" w:rsidRPr="005D01E2" w:rsidRDefault="00EB327E" w:rsidP="00775B51">
            <w:pPr>
              <w:spacing w:line="480" w:lineRule="auto"/>
              <w:rPr>
                <w:rFonts w:ascii="Arial Narrow" w:hAnsi="Arial Narrow"/>
              </w:rPr>
            </w:pPr>
            <w:r w:rsidRPr="005D01E2">
              <w:rPr>
                <w:rFonts w:ascii="Arial Narrow" w:eastAsia="Times New Roman" w:hAnsi="Arial Narrow" w:cs="Times New Roman"/>
              </w:rPr>
              <w:t>5.8</w:t>
            </w:r>
          </w:p>
        </w:tc>
        <w:tc>
          <w:tcPr>
            <w:tcW w:w="1000" w:type="dxa"/>
          </w:tcPr>
          <w:p w14:paraId="51EE1053" w14:textId="77777777" w:rsidR="00EB327E" w:rsidRPr="005D01E2" w:rsidRDefault="00EB327E" w:rsidP="00775B51">
            <w:pPr>
              <w:spacing w:line="480" w:lineRule="auto"/>
              <w:rPr>
                <w:rFonts w:ascii="Arial Narrow" w:hAnsi="Arial Narrow"/>
              </w:rPr>
            </w:pPr>
            <w:r w:rsidRPr="005D01E2">
              <w:rPr>
                <w:rFonts w:ascii="Arial Narrow" w:eastAsia="Times New Roman" w:hAnsi="Arial Narrow" w:cs="Times New Roman"/>
              </w:rPr>
              <w:t>16.7</w:t>
            </w:r>
          </w:p>
        </w:tc>
        <w:tc>
          <w:tcPr>
            <w:tcW w:w="1060" w:type="dxa"/>
          </w:tcPr>
          <w:p w14:paraId="34F51EA3" w14:textId="77777777" w:rsidR="00EB327E" w:rsidRPr="005D01E2" w:rsidRDefault="00EB327E" w:rsidP="00775B51">
            <w:pPr>
              <w:spacing w:line="480" w:lineRule="auto"/>
              <w:rPr>
                <w:rFonts w:ascii="Arial Narrow" w:hAnsi="Arial Narrow"/>
              </w:rPr>
            </w:pPr>
            <w:r w:rsidRPr="005D01E2">
              <w:rPr>
                <w:rFonts w:ascii="Arial Narrow" w:eastAsia="Times New Roman" w:hAnsi="Arial Narrow" w:cs="Times New Roman"/>
              </w:rPr>
              <w:t>47.1</w:t>
            </w:r>
          </w:p>
        </w:tc>
      </w:tr>
      <w:tr w:rsidR="003A00B0" w:rsidRPr="005D01E2" w14:paraId="5BAEDABC" w14:textId="77777777" w:rsidTr="005D01E2">
        <w:tc>
          <w:tcPr>
            <w:tcW w:w="1300" w:type="dxa"/>
          </w:tcPr>
          <w:p w14:paraId="6E062086" w14:textId="77777777" w:rsidR="00EB327E" w:rsidRPr="005D01E2" w:rsidRDefault="00EB327E" w:rsidP="00775B51">
            <w:pPr>
              <w:spacing w:line="480" w:lineRule="auto"/>
              <w:rPr>
                <w:rFonts w:ascii="Arial Narrow" w:hAnsi="Arial Narrow"/>
              </w:rPr>
            </w:pPr>
            <w:r w:rsidRPr="005D01E2">
              <w:rPr>
                <w:rFonts w:ascii="Arial Narrow" w:eastAsia="Times New Roman" w:hAnsi="Arial Narrow" w:cs="Times New Roman"/>
              </w:rPr>
              <w:t>Pohnpei</w:t>
            </w:r>
          </w:p>
        </w:tc>
        <w:tc>
          <w:tcPr>
            <w:tcW w:w="1000" w:type="dxa"/>
          </w:tcPr>
          <w:p w14:paraId="7C1A9A21" w14:textId="77777777" w:rsidR="00EB327E" w:rsidRPr="005D01E2" w:rsidRDefault="00EB327E" w:rsidP="00775B51">
            <w:pPr>
              <w:spacing w:line="480" w:lineRule="auto"/>
              <w:rPr>
                <w:rFonts w:ascii="Arial Narrow" w:hAnsi="Arial Narrow"/>
              </w:rPr>
            </w:pPr>
            <w:r w:rsidRPr="005D01E2">
              <w:rPr>
                <w:rFonts w:ascii="Arial Narrow" w:eastAsia="Times New Roman" w:hAnsi="Arial Narrow" w:cs="Times New Roman"/>
              </w:rPr>
              <w:t>23.2</w:t>
            </w:r>
          </w:p>
        </w:tc>
        <w:tc>
          <w:tcPr>
            <w:tcW w:w="1000" w:type="dxa"/>
          </w:tcPr>
          <w:p w14:paraId="2397E218" w14:textId="77777777" w:rsidR="00EB327E" w:rsidRPr="005D01E2" w:rsidRDefault="00EB327E" w:rsidP="00775B51">
            <w:pPr>
              <w:spacing w:line="480" w:lineRule="auto"/>
              <w:rPr>
                <w:rFonts w:ascii="Arial Narrow" w:hAnsi="Arial Narrow"/>
              </w:rPr>
            </w:pPr>
            <w:r w:rsidRPr="005D01E2">
              <w:rPr>
                <w:rFonts w:ascii="Arial Narrow" w:eastAsia="Times New Roman" w:hAnsi="Arial Narrow" w:cs="Times New Roman"/>
              </w:rPr>
              <w:t>5.8</w:t>
            </w:r>
          </w:p>
        </w:tc>
        <w:tc>
          <w:tcPr>
            <w:tcW w:w="1000" w:type="dxa"/>
          </w:tcPr>
          <w:p w14:paraId="14C9812C" w14:textId="77777777" w:rsidR="00EB327E" w:rsidRPr="005D01E2" w:rsidRDefault="00EB327E" w:rsidP="00775B51">
            <w:pPr>
              <w:spacing w:line="480" w:lineRule="auto"/>
              <w:rPr>
                <w:rFonts w:ascii="Arial Narrow" w:hAnsi="Arial Narrow"/>
              </w:rPr>
            </w:pPr>
            <w:r w:rsidRPr="005D01E2">
              <w:rPr>
                <w:rFonts w:ascii="Arial Narrow" w:eastAsia="Times New Roman" w:hAnsi="Arial Narrow" w:cs="Times New Roman"/>
              </w:rPr>
              <w:t>3.9</w:t>
            </w:r>
          </w:p>
        </w:tc>
        <w:tc>
          <w:tcPr>
            <w:tcW w:w="1000" w:type="dxa"/>
          </w:tcPr>
          <w:p w14:paraId="116D2F48" w14:textId="77777777" w:rsidR="00EB327E" w:rsidRPr="005D01E2" w:rsidRDefault="00EB327E" w:rsidP="00775B51">
            <w:pPr>
              <w:spacing w:line="480" w:lineRule="auto"/>
              <w:rPr>
                <w:rFonts w:ascii="Arial Narrow" w:hAnsi="Arial Narrow"/>
              </w:rPr>
            </w:pPr>
            <w:r w:rsidRPr="005D01E2">
              <w:rPr>
                <w:rFonts w:ascii="Arial Narrow" w:eastAsia="Times New Roman" w:hAnsi="Arial Narrow" w:cs="Times New Roman"/>
              </w:rPr>
              <w:t>3.6</w:t>
            </w:r>
          </w:p>
        </w:tc>
        <w:tc>
          <w:tcPr>
            <w:tcW w:w="1000" w:type="dxa"/>
          </w:tcPr>
          <w:p w14:paraId="24BB9CC6" w14:textId="77777777" w:rsidR="00EB327E" w:rsidRPr="005D01E2" w:rsidRDefault="00EB327E" w:rsidP="00775B51">
            <w:pPr>
              <w:spacing w:line="480" w:lineRule="auto"/>
              <w:rPr>
                <w:rFonts w:ascii="Arial Narrow" w:hAnsi="Arial Narrow"/>
              </w:rPr>
            </w:pPr>
            <w:r w:rsidRPr="005D01E2">
              <w:rPr>
                <w:rFonts w:ascii="Arial Narrow" w:eastAsia="Times New Roman" w:hAnsi="Arial Narrow" w:cs="Times New Roman"/>
              </w:rPr>
              <w:t>0.3</w:t>
            </w:r>
          </w:p>
        </w:tc>
        <w:tc>
          <w:tcPr>
            <w:tcW w:w="1000" w:type="dxa"/>
          </w:tcPr>
          <w:p w14:paraId="4C7A1392" w14:textId="77777777" w:rsidR="00EB327E" w:rsidRPr="005D01E2" w:rsidRDefault="00EB327E" w:rsidP="00775B51">
            <w:pPr>
              <w:spacing w:line="480" w:lineRule="auto"/>
              <w:rPr>
                <w:rFonts w:ascii="Arial Narrow" w:hAnsi="Arial Narrow"/>
              </w:rPr>
            </w:pPr>
            <w:r w:rsidRPr="005D01E2">
              <w:rPr>
                <w:rFonts w:ascii="Arial Narrow" w:eastAsia="Times New Roman" w:hAnsi="Arial Narrow" w:cs="Times New Roman"/>
              </w:rPr>
              <w:t>6.4</w:t>
            </w:r>
          </w:p>
        </w:tc>
        <w:tc>
          <w:tcPr>
            <w:tcW w:w="1000" w:type="dxa"/>
          </w:tcPr>
          <w:p w14:paraId="024DB85C" w14:textId="77777777" w:rsidR="00EB327E" w:rsidRPr="005D01E2" w:rsidRDefault="00EB327E" w:rsidP="00775B51">
            <w:pPr>
              <w:spacing w:line="480" w:lineRule="auto"/>
              <w:rPr>
                <w:rFonts w:ascii="Arial Narrow" w:hAnsi="Arial Narrow"/>
              </w:rPr>
            </w:pPr>
            <w:r w:rsidRPr="005D01E2">
              <w:rPr>
                <w:rFonts w:ascii="Arial Narrow" w:eastAsia="Times New Roman" w:hAnsi="Arial Narrow" w:cs="Times New Roman"/>
              </w:rPr>
              <w:t>0.0</w:t>
            </w:r>
          </w:p>
        </w:tc>
        <w:tc>
          <w:tcPr>
            <w:tcW w:w="1060" w:type="dxa"/>
          </w:tcPr>
          <w:p w14:paraId="7AA65F9C" w14:textId="77777777" w:rsidR="00EB327E" w:rsidRPr="005D01E2" w:rsidRDefault="00EB327E" w:rsidP="00775B51">
            <w:pPr>
              <w:spacing w:line="480" w:lineRule="auto"/>
              <w:rPr>
                <w:rFonts w:ascii="Arial Narrow" w:hAnsi="Arial Narrow"/>
              </w:rPr>
            </w:pPr>
            <w:r w:rsidRPr="005D01E2">
              <w:rPr>
                <w:rFonts w:ascii="Arial Narrow" w:eastAsia="Times New Roman" w:hAnsi="Arial Narrow" w:cs="Times New Roman"/>
              </w:rPr>
              <w:t>43.2</w:t>
            </w:r>
          </w:p>
        </w:tc>
      </w:tr>
      <w:tr w:rsidR="003A00B0" w:rsidRPr="005D01E2" w14:paraId="38CA2CEA" w14:textId="77777777" w:rsidTr="005D01E2">
        <w:tc>
          <w:tcPr>
            <w:tcW w:w="1300" w:type="dxa"/>
          </w:tcPr>
          <w:p w14:paraId="5E0A40D3" w14:textId="77777777" w:rsidR="00EB327E" w:rsidRPr="005D01E2" w:rsidRDefault="00EB327E" w:rsidP="00775B51">
            <w:pPr>
              <w:spacing w:line="480" w:lineRule="auto"/>
              <w:rPr>
                <w:rFonts w:ascii="Arial Narrow" w:hAnsi="Arial Narrow"/>
              </w:rPr>
            </w:pPr>
            <w:r w:rsidRPr="005D01E2">
              <w:rPr>
                <w:rFonts w:ascii="Arial Narrow" w:eastAsia="Times New Roman" w:hAnsi="Arial Narrow" w:cs="Times New Roman"/>
              </w:rPr>
              <w:t>Kosrae</w:t>
            </w:r>
          </w:p>
        </w:tc>
        <w:tc>
          <w:tcPr>
            <w:tcW w:w="1000" w:type="dxa"/>
          </w:tcPr>
          <w:p w14:paraId="4A65D962" w14:textId="77777777" w:rsidR="00EB327E" w:rsidRPr="005D01E2" w:rsidRDefault="00EB327E" w:rsidP="00775B51">
            <w:pPr>
              <w:spacing w:line="480" w:lineRule="auto"/>
              <w:rPr>
                <w:rFonts w:ascii="Arial Narrow" w:hAnsi="Arial Narrow"/>
              </w:rPr>
            </w:pPr>
            <w:r w:rsidRPr="005D01E2">
              <w:rPr>
                <w:rFonts w:ascii="Arial Narrow" w:eastAsia="Times New Roman" w:hAnsi="Arial Narrow" w:cs="Times New Roman"/>
              </w:rPr>
              <w:t>10.6</w:t>
            </w:r>
          </w:p>
        </w:tc>
        <w:tc>
          <w:tcPr>
            <w:tcW w:w="1000" w:type="dxa"/>
          </w:tcPr>
          <w:p w14:paraId="405172AC" w14:textId="77777777" w:rsidR="00EB327E" w:rsidRPr="005D01E2" w:rsidRDefault="00EB327E" w:rsidP="00775B51">
            <w:pPr>
              <w:spacing w:line="480" w:lineRule="auto"/>
              <w:rPr>
                <w:rFonts w:ascii="Arial Narrow" w:hAnsi="Arial Narrow"/>
              </w:rPr>
            </w:pPr>
            <w:r w:rsidRPr="005D01E2">
              <w:rPr>
                <w:rFonts w:ascii="Arial Narrow" w:eastAsia="Times New Roman" w:hAnsi="Arial Narrow" w:cs="Times New Roman"/>
              </w:rPr>
              <w:t>26.9</w:t>
            </w:r>
          </w:p>
        </w:tc>
        <w:tc>
          <w:tcPr>
            <w:tcW w:w="1000" w:type="dxa"/>
          </w:tcPr>
          <w:p w14:paraId="0FA903CF" w14:textId="77777777" w:rsidR="00EB327E" w:rsidRPr="005D01E2" w:rsidRDefault="00EB327E" w:rsidP="00775B51">
            <w:pPr>
              <w:spacing w:line="480" w:lineRule="auto"/>
              <w:rPr>
                <w:rFonts w:ascii="Arial Narrow" w:hAnsi="Arial Narrow"/>
              </w:rPr>
            </w:pPr>
            <w:r w:rsidRPr="005D01E2">
              <w:rPr>
                <w:rFonts w:ascii="Arial Narrow" w:eastAsia="Times New Roman" w:hAnsi="Arial Narrow" w:cs="Times New Roman"/>
              </w:rPr>
              <w:t>2.8</w:t>
            </w:r>
          </w:p>
        </w:tc>
        <w:tc>
          <w:tcPr>
            <w:tcW w:w="1000" w:type="dxa"/>
          </w:tcPr>
          <w:p w14:paraId="6203CF13" w14:textId="77777777" w:rsidR="00EB327E" w:rsidRPr="005D01E2" w:rsidRDefault="00EB327E" w:rsidP="00775B51">
            <w:pPr>
              <w:spacing w:line="480" w:lineRule="auto"/>
              <w:rPr>
                <w:rFonts w:ascii="Arial Narrow" w:hAnsi="Arial Narrow"/>
              </w:rPr>
            </w:pPr>
            <w:r w:rsidRPr="005D01E2">
              <w:rPr>
                <w:rFonts w:ascii="Arial Narrow" w:eastAsia="Times New Roman" w:hAnsi="Arial Narrow" w:cs="Times New Roman"/>
              </w:rPr>
              <w:t>8.0</w:t>
            </w:r>
          </w:p>
        </w:tc>
        <w:tc>
          <w:tcPr>
            <w:tcW w:w="1000" w:type="dxa"/>
          </w:tcPr>
          <w:p w14:paraId="472BF28E" w14:textId="77777777" w:rsidR="00EB327E" w:rsidRPr="005D01E2" w:rsidRDefault="00EB327E" w:rsidP="00775B51">
            <w:pPr>
              <w:spacing w:line="480" w:lineRule="auto"/>
              <w:rPr>
                <w:rFonts w:ascii="Arial Narrow" w:hAnsi="Arial Narrow"/>
              </w:rPr>
            </w:pPr>
            <w:r w:rsidRPr="005D01E2">
              <w:rPr>
                <w:rFonts w:ascii="Arial Narrow" w:eastAsia="Times New Roman" w:hAnsi="Arial Narrow" w:cs="Times New Roman"/>
              </w:rPr>
              <w:t>5.4</w:t>
            </w:r>
          </w:p>
        </w:tc>
        <w:tc>
          <w:tcPr>
            <w:tcW w:w="1000" w:type="dxa"/>
          </w:tcPr>
          <w:p w14:paraId="7C050594" w14:textId="77777777" w:rsidR="00EB327E" w:rsidRPr="005D01E2" w:rsidRDefault="00EB327E" w:rsidP="00775B51">
            <w:pPr>
              <w:spacing w:line="480" w:lineRule="auto"/>
              <w:rPr>
                <w:rFonts w:ascii="Arial Narrow" w:hAnsi="Arial Narrow"/>
              </w:rPr>
            </w:pPr>
            <w:r w:rsidRPr="005D01E2">
              <w:rPr>
                <w:rFonts w:ascii="Arial Narrow" w:eastAsia="Times New Roman" w:hAnsi="Arial Narrow" w:cs="Times New Roman"/>
              </w:rPr>
              <w:t>10.2</w:t>
            </w:r>
          </w:p>
        </w:tc>
        <w:tc>
          <w:tcPr>
            <w:tcW w:w="1000" w:type="dxa"/>
          </w:tcPr>
          <w:p w14:paraId="67B3F05B" w14:textId="77777777" w:rsidR="00EB327E" w:rsidRPr="005D01E2" w:rsidRDefault="00EB327E" w:rsidP="00775B51">
            <w:pPr>
              <w:spacing w:line="480" w:lineRule="auto"/>
              <w:rPr>
                <w:rFonts w:ascii="Arial Narrow" w:hAnsi="Arial Narrow"/>
              </w:rPr>
            </w:pPr>
            <w:r w:rsidRPr="005D01E2">
              <w:rPr>
                <w:rFonts w:ascii="Arial Narrow" w:eastAsia="Times New Roman" w:hAnsi="Arial Narrow" w:cs="Times New Roman"/>
              </w:rPr>
              <w:t>0.6</w:t>
            </w:r>
          </w:p>
        </w:tc>
        <w:tc>
          <w:tcPr>
            <w:tcW w:w="1060" w:type="dxa"/>
          </w:tcPr>
          <w:p w14:paraId="7D18BAFB" w14:textId="77777777" w:rsidR="00EB327E" w:rsidRPr="005D01E2" w:rsidRDefault="00EB327E" w:rsidP="00775B51">
            <w:pPr>
              <w:keepNext/>
              <w:spacing w:line="480" w:lineRule="auto"/>
              <w:rPr>
                <w:rFonts w:ascii="Arial Narrow" w:hAnsi="Arial Narrow"/>
              </w:rPr>
            </w:pPr>
            <w:r w:rsidRPr="005D01E2">
              <w:rPr>
                <w:rFonts w:ascii="Arial Narrow" w:eastAsia="Times New Roman" w:hAnsi="Arial Narrow" w:cs="Times New Roman"/>
              </w:rPr>
              <w:t>64.5</w:t>
            </w:r>
          </w:p>
        </w:tc>
      </w:tr>
    </w:tbl>
    <w:p w14:paraId="3F29DF0E" w14:textId="55529EF6" w:rsidR="00BE0460" w:rsidRDefault="00BE0460" w:rsidP="00775B51">
      <w:pPr>
        <w:pStyle w:val="Caption"/>
        <w:rPr>
          <w:rFonts w:eastAsia="Times New Roman"/>
          <w:b/>
          <w:bCs/>
          <w:sz w:val="20"/>
          <w:szCs w:val="20"/>
        </w:rPr>
      </w:pPr>
    </w:p>
    <w:p w14:paraId="445EF1F4" w14:textId="1BC0F3F6" w:rsidR="00EB327E" w:rsidRDefault="009614AD" w:rsidP="00281CCF">
      <w:pPr>
        <w:ind w:firstLine="720"/>
      </w:pPr>
      <w:r>
        <w:rPr>
          <w:rFonts w:eastAsia="Times New Roman" w:cs="Times New Roman"/>
        </w:rPr>
        <w:fldChar w:fldCharType="begin"/>
      </w:r>
      <w:r>
        <w:rPr>
          <w:rFonts w:eastAsia="Times New Roman" w:cs="Times New Roman"/>
        </w:rPr>
        <w:instrText xml:space="preserve"> REF _Ref227395118 \h </w:instrText>
      </w:r>
      <w:r>
        <w:rPr>
          <w:rFonts w:eastAsia="Times New Roman" w:cs="Times New Roman"/>
        </w:rPr>
      </w:r>
      <w:r>
        <w:rPr>
          <w:rFonts w:eastAsia="Times New Roman" w:cs="Times New Roman"/>
        </w:rPr>
        <w:fldChar w:fldCharType="separate"/>
      </w:r>
      <w:r w:rsidR="00244816" w:rsidRPr="004A1C77">
        <w:rPr>
          <w:rFonts w:ascii="Arial Narrow" w:hAnsi="Arial Narrow"/>
        </w:rPr>
        <w:t xml:space="preserve">Figure </w:t>
      </w:r>
      <w:r w:rsidR="00244816">
        <w:rPr>
          <w:rFonts w:ascii="Arial Narrow" w:hAnsi="Arial Narrow"/>
          <w:noProof/>
        </w:rPr>
        <w:t>11</w:t>
      </w:r>
      <w:r>
        <w:rPr>
          <w:rFonts w:eastAsia="Times New Roman" w:cs="Times New Roman"/>
        </w:rPr>
        <w:fldChar w:fldCharType="end"/>
      </w:r>
      <w:r w:rsidR="00A53A6E">
        <w:rPr>
          <w:rFonts w:eastAsia="Times New Roman" w:cs="Times New Roman"/>
        </w:rPr>
        <w:t xml:space="preserve"> </w:t>
      </w:r>
      <w:r w:rsidR="00EB327E">
        <w:rPr>
          <w:rFonts w:eastAsia="Times New Roman" w:cs="Times New Roman"/>
        </w:rPr>
        <w:t>presents the combined bar chart for the four FSM locations, showing the day-by-day evolution of forecast precipitation and facilitating cross-site comparison. The highest daily totals are concentrated on the first two days (March 10–11) across most sites, with a secondary pulse at Weno on the final day.</w:t>
      </w:r>
    </w:p>
    <w:p w14:paraId="76FB52C4" w14:textId="77777777" w:rsidR="0073257E" w:rsidRDefault="00EB327E" w:rsidP="00775B51">
      <w:pPr>
        <w:keepNext/>
        <w:spacing w:before="160" w:after="60"/>
      </w:pPr>
      <w:r>
        <w:rPr>
          <w:noProof/>
        </w:rPr>
        <w:drawing>
          <wp:inline distT="0" distB="0" distL="0" distR="0" wp14:anchorId="7BB3967B" wp14:editId="1490D7BA">
            <wp:extent cx="5524500" cy="3633849"/>
            <wp:effectExtent l="0" t="0" r="0" b="5080"/>
            <wp:docPr id="1" name="FSM Combined 7-Day Forecast" descr="Combined bar chart of GFS precipitation forecast for FSM monitoring locations." title="FSM Combined 7-Day Foreca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21"/>
                    <a:srcRect/>
                    <a:stretch>
                      <a:fillRect/>
                    </a:stretch>
                  </pic:blipFill>
                  <pic:spPr bwMode="auto">
                    <a:xfrm>
                      <a:off x="0" y="0"/>
                      <a:ext cx="5534497" cy="3640425"/>
                    </a:xfrm>
                    <a:prstGeom prst="rect">
                      <a:avLst/>
                    </a:prstGeom>
                  </pic:spPr>
                </pic:pic>
              </a:graphicData>
            </a:graphic>
          </wp:inline>
        </w:drawing>
      </w:r>
    </w:p>
    <w:p w14:paraId="0974FDA1" w14:textId="6F9F7E90" w:rsidR="00EB327E" w:rsidRPr="004A1C77" w:rsidRDefault="0073257E" w:rsidP="00775B51">
      <w:pPr>
        <w:pStyle w:val="Caption"/>
        <w:rPr>
          <w:rFonts w:ascii="Arial Narrow" w:hAnsi="Arial Narrow"/>
        </w:rPr>
      </w:pPr>
      <w:bookmarkStart w:id="73" w:name="_Ref227395118"/>
      <w:bookmarkStart w:id="74" w:name="_Toc227410283"/>
      <w:r w:rsidRPr="004A1C77">
        <w:rPr>
          <w:rFonts w:ascii="Arial Narrow" w:hAnsi="Arial Narrow"/>
        </w:rPr>
        <w:t xml:space="preserve">Figure </w:t>
      </w:r>
      <w:r w:rsidRPr="004A1C77">
        <w:rPr>
          <w:rFonts w:ascii="Arial Narrow" w:hAnsi="Arial Narrow"/>
        </w:rPr>
        <w:fldChar w:fldCharType="begin"/>
      </w:r>
      <w:r w:rsidRPr="004A1C77">
        <w:rPr>
          <w:rFonts w:ascii="Arial Narrow" w:hAnsi="Arial Narrow"/>
        </w:rPr>
        <w:instrText xml:space="preserve"> SEQ Figure \* ARABIC </w:instrText>
      </w:r>
      <w:r w:rsidRPr="004A1C77">
        <w:rPr>
          <w:rFonts w:ascii="Arial Narrow" w:hAnsi="Arial Narrow"/>
        </w:rPr>
        <w:fldChar w:fldCharType="separate"/>
      </w:r>
      <w:r w:rsidR="00244816">
        <w:rPr>
          <w:rFonts w:ascii="Arial Narrow" w:hAnsi="Arial Narrow"/>
          <w:noProof/>
        </w:rPr>
        <w:t>11</w:t>
      </w:r>
      <w:r w:rsidRPr="004A1C77">
        <w:rPr>
          <w:rFonts w:ascii="Arial Narrow" w:hAnsi="Arial Narrow"/>
        </w:rPr>
        <w:fldChar w:fldCharType="end"/>
      </w:r>
      <w:bookmarkEnd w:id="73"/>
      <w:r w:rsidRPr="004A1C77">
        <w:rPr>
          <w:rFonts w:ascii="Arial Narrow" w:hAnsi="Arial Narrow"/>
        </w:rPr>
        <w:t>. Combined 7-day GFS precipitation forecast bar chart for the four FSM monitoring locations, March 10–16, 2026. The dashed red line indicates the 50-</w:t>
      </w:r>
      <w:r w:rsidR="00D16829">
        <w:rPr>
          <w:rFonts w:ascii="Arial Narrow" w:hAnsi="Arial Narrow"/>
        </w:rPr>
        <w:t>mm</w:t>
      </w:r>
      <w:r w:rsidR="007B23D3">
        <w:rPr>
          <w:rFonts w:ascii="Arial Narrow" w:hAnsi="Arial Narrow"/>
        </w:rPr>
        <w:t xml:space="preserve"> </w:t>
      </w:r>
      <w:r w:rsidRPr="004A1C77">
        <w:rPr>
          <w:rFonts w:ascii="Arial Narrow" w:hAnsi="Arial Narrow"/>
        </w:rPr>
        <w:t>daily alert threshold.</w:t>
      </w:r>
      <w:bookmarkEnd w:id="74"/>
    </w:p>
    <w:p w14:paraId="708BC74E" w14:textId="509A551E" w:rsidR="00025438" w:rsidRPr="00303F8F" w:rsidRDefault="00025438" w:rsidP="00531F14">
      <w:pPr>
        <w:spacing w:before="240" w:after="0"/>
        <w:rPr>
          <w:rFonts w:ascii="Arial" w:hAnsi="Arial" w:cs="Arial"/>
          <w:i/>
          <w:iCs/>
          <w:sz w:val="22"/>
          <w:szCs w:val="22"/>
        </w:rPr>
      </w:pPr>
      <w:r w:rsidRPr="00303F8F">
        <w:rPr>
          <w:rFonts w:ascii="Arial" w:hAnsi="Arial" w:cs="Arial"/>
          <w:i/>
          <w:iCs/>
          <w:sz w:val="22"/>
          <w:szCs w:val="22"/>
        </w:rPr>
        <w:t>Yap</w:t>
      </w:r>
    </w:p>
    <w:p w14:paraId="3D69E3F0" w14:textId="35D0A6BF" w:rsidR="00025438" w:rsidRDefault="00025438" w:rsidP="00775B51">
      <w:r>
        <w:rPr>
          <w:rFonts w:eastAsia="Times New Roman" w:cs="Times New Roman"/>
        </w:rPr>
        <w:t>The Yap forecast for March 10–16 shows a 7-day total of 63</w:t>
      </w:r>
      <w:r w:rsidRPr="004D14FA">
        <w:rPr>
          <w:rFonts w:eastAsia="Times New Roman" w:cs="Times New Roman"/>
        </w:rPr>
        <w:t>.6 m</w:t>
      </w:r>
      <w:r w:rsidR="00760003" w:rsidRPr="004D14FA">
        <w:rPr>
          <w:rFonts w:eastAsia="Times New Roman" w:cs="Times New Roman"/>
        </w:rPr>
        <w:t>m</w:t>
      </w:r>
      <w:r w:rsidRPr="004D14FA">
        <w:rPr>
          <w:rFonts w:eastAsia="Times New Roman" w:cs="Times New Roman"/>
        </w:rPr>
        <w:t xml:space="preserve"> (</w:t>
      </w:r>
      <w:r w:rsidR="004D14FA" w:rsidRPr="004D14FA">
        <w:rPr>
          <w:rFonts w:eastAsia="Times New Roman" w:cs="Times New Roman"/>
        </w:rPr>
        <w:fldChar w:fldCharType="begin"/>
      </w:r>
      <w:r w:rsidR="004D14FA" w:rsidRPr="004D14FA">
        <w:rPr>
          <w:rFonts w:eastAsia="Times New Roman" w:cs="Times New Roman"/>
        </w:rPr>
        <w:instrText xml:space="preserve"> REF _Ref227396367 \h </w:instrText>
      </w:r>
      <w:r w:rsidR="004D14FA">
        <w:rPr>
          <w:rFonts w:eastAsia="Times New Roman" w:cs="Times New Roman"/>
        </w:rPr>
        <w:instrText xml:space="preserve"> \* MERGEFORMAT </w:instrText>
      </w:r>
      <w:r w:rsidR="004D14FA" w:rsidRPr="004D14FA">
        <w:rPr>
          <w:rFonts w:eastAsia="Times New Roman" w:cs="Times New Roman"/>
        </w:rPr>
      </w:r>
      <w:r w:rsidR="004D14FA" w:rsidRPr="004D14FA">
        <w:rPr>
          <w:rFonts w:eastAsia="Times New Roman" w:cs="Times New Roman"/>
        </w:rPr>
        <w:fldChar w:fldCharType="separate"/>
      </w:r>
      <w:r w:rsidR="00244816" w:rsidRPr="00244816">
        <w:rPr>
          <w:rFonts w:cs="Times New Roman"/>
        </w:rPr>
        <w:t xml:space="preserve">Figure </w:t>
      </w:r>
      <w:r w:rsidR="00244816" w:rsidRPr="00244816">
        <w:rPr>
          <w:rFonts w:cs="Times New Roman"/>
          <w:noProof/>
        </w:rPr>
        <w:t>12</w:t>
      </w:r>
      <w:r w:rsidR="004D14FA" w:rsidRPr="004D14FA">
        <w:rPr>
          <w:rFonts w:eastAsia="Times New Roman" w:cs="Times New Roman"/>
        </w:rPr>
        <w:fldChar w:fldCharType="end"/>
      </w:r>
      <w:r w:rsidRPr="004D14FA">
        <w:rPr>
          <w:rFonts w:eastAsia="Times New Roman" w:cs="Times New Roman"/>
        </w:rPr>
        <w:t xml:space="preserve">), the </w:t>
      </w:r>
      <w:proofErr w:type="gramStart"/>
      <w:r w:rsidRPr="004D14FA">
        <w:rPr>
          <w:rFonts w:eastAsia="Times New Roman" w:cs="Times New Roman"/>
        </w:rPr>
        <w:t>second</w:t>
      </w:r>
      <w:r>
        <w:rPr>
          <w:rFonts w:eastAsia="Times New Roman" w:cs="Times New Roman"/>
        </w:rPr>
        <w:t>-highest</w:t>
      </w:r>
      <w:proofErr w:type="gramEnd"/>
      <w:r>
        <w:rPr>
          <w:rFonts w:eastAsia="Times New Roman" w:cs="Times New Roman"/>
        </w:rPr>
        <w:t xml:space="preserve"> among the FSM sites. Rainfall is concentrated in the first two days (17.7 m</w:t>
      </w:r>
      <w:r w:rsidR="00F50A42">
        <w:rPr>
          <w:rFonts w:eastAsia="Times New Roman" w:cs="Times New Roman"/>
        </w:rPr>
        <w:t>m</w:t>
      </w:r>
      <w:r>
        <w:rPr>
          <w:rFonts w:eastAsia="Times New Roman" w:cs="Times New Roman"/>
        </w:rPr>
        <w:t xml:space="preserve"> on March 10 and 16.9 m</w:t>
      </w:r>
      <w:r w:rsidR="00F50A42">
        <w:rPr>
          <w:rFonts w:eastAsia="Times New Roman" w:cs="Times New Roman"/>
        </w:rPr>
        <w:t>m</w:t>
      </w:r>
      <w:r w:rsidR="00845E7F">
        <w:rPr>
          <w:rFonts w:eastAsia="Times New Roman" w:cs="Times New Roman"/>
        </w:rPr>
        <w:t xml:space="preserve"> </w:t>
      </w:r>
      <w:r>
        <w:rPr>
          <w:rFonts w:eastAsia="Times New Roman" w:cs="Times New Roman"/>
        </w:rPr>
        <w:t>on March 11), tapering to moderate levels mid-week and near-zero on the final day (0.3 m</w:t>
      </w:r>
      <w:r w:rsidR="00D16829">
        <w:rPr>
          <w:rFonts w:eastAsia="Times New Roman" w:cs="Times New Roman"/>
        </w:rPr>
        <w:t>m</w:t>
      </w:r>
      <w:r>
        <w:rPr>
          <w:rFonts w:eastAsia="Times New Roman" w:cs="Times New Roman"/>
        </w:rPr>
        <w:t xml:space="preserve"> on March 16). No daily values exceed the 50-m</w:t>
      </w:r>
      <w:r w:rsidR="00D16829">
        <w:rPr>
          <w:rFonts w:eastAsia="Times New Roman" w:cs="Times New Roman"/>
        </w:rPr>
        <w:t>m</w:t>
      </w:r>
      <w:r>
        <w:rPr>
          <w:rFonts w:eastAsia="Times New Roman" w:cs="Times New Roman"/>
        </w:rPr>
        <w:t xml:space="preserve"> threshold. In the context of Yap’s dry-season climatology (February median of 96 m</w:t>
      </w:r>
      <w:r w:rsidR="007B23D3">
        <w:rPr>
          <w:rFonts w:eastAsia="Times New Roman" w:cs="Times New Roman"/>
        </w:rPr>
        <w:t>m</w:t>
      </w:r>
      <w:r>
        <w:rPr>
          <w:rFonts w:eastAsia="Times New Roman" w:cs="Times New Roman"/>
        </w:rPr>
        <w:t>), a weekly total of 63.6 m</w:t>
      </w:r>
      <w:r w:rsidR="007B23D3">
        <w:rPr>
          <w:rFonts w:eastAsia="Times New Roman" w:cs="Times New Roman"/>
        </w:rPr>
        <w:t>m</w:t>
      </w:r>
      <w:r>
        <w:rPr>
          <w:rFonts w:eastAsia="Times New Roman" w:cs="Times New Roman"/>
        </w:rPr>
        <w:t xml:space="preserve"> would represent a meaningful but not exceptional contribution to monthly accumulation. Given that the drought monitoring record shows Yap is currently in an extended period of below-normal precipitation (the Rainfall Index was classified as Drier or Dry for recent months), this forecast of moderate rainfall would be insufficient on its own to reverse the ongoing deficit but may provide temporary relief to catchment systems.</w:t>
      </w:r>
    </w:p>
    <w:p w14:paraId="1B6E15EF" w14:textId="7CDED447" w:rsidR="00CE6F70" w:rsidRDefault="00025438" w:rsidP="008A4B2B">
      <w:pPr>
        <w:keepNext/>
        <w:spacing w:before="160" w:after="60"/>
      </w:pPr>
      <w:r>
        <w:rPr>
          <w:noProof/>
        </w:rPr>
        <w:drawing>
          <wp:inline distT="0" distB="0" distL="0" distR="0" wp14:anchorId="71493106" wp14:editId="1F6A8DC8">
            <wp:extent cx="5048250" cy="3538846"/>
            <wp:effectExtent l="0" t="0" r="0" b="5080"/>
            <wp:docPr id="205951329" name="Yap Forecast" descr="Bar chart of 7-day GFS precipitation forecast for Yap." title="Yap Foreca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22"/>
                    <a:srcRect/>
                    <a:stretch>
                      <a:fillRect/>
                    </a:stretch>
                  </pic:blipFill>
                  <pic:spPr bwMode="auto">
                    <a:xfrm>
                      <a:off x="0" y="0"/>
                      <a:ext cx="5053448" cy="3542490"/>
                    </a:xfrm>
                    <a:prstGeom prst="rect">
                      <a:avLst/>
                    </a:prstGeom>
                  </pic:spPr>
                </pic:pic>
              </a:graphicData>
            </a:graphic>
          </wp:inline>
        </w:drawing>
      </w:r>
    </w:p>
    <w:p w14:paraId="225A378B" w14:textId="4BEF4249" w:rsidR="00025438" w:rsidRPr="00783AE6" w:rsidRDefault="008A4B2B" w:rsidP="008A4B2B">
      <w:pPr>
        <w:pStyle w:val="Caption"/>
        <w:rPr>
          <w:rFonts w:ascii="Arial Narrow" w:hAnsi="Arial Narrow"/>
        </w:rPr>
      </w:pPr>
      <w:bookmarkStart w:id="75" w:name="_Ref227396367"/>
      <w:bookmarkStart w:id="76" w:name="_Toc227410284"/>
      <w:r w:rsidRPr="00783AE6">
        <w:rPr>
          <w:rFonts w:ascii="Arial Narrow" w:hAnsi="Arial Narrow"/>
        </w:rPr>
        <w:t xml:space="preserve">Figure </w:t>
      </w:r>
      <w:r w:rsidRPr="00783AE6">
        <w:rPr>
          <w:rFonts w:ascii="Arial Narrow" w:hAnsi="Arial Narrow"/>
        </w:rPr>
        <w:fldChar w:fldCharType="begin"/>
      </w:r>
      <w:r w:rsidRPr="00783AE6">
        <w:rPr>
          <w:rFonts w:ascii="Arial Narrow" w:hAnsi="Arial Narrow"/>
        </w:rPr>
        <w:instrText xml:space="preserve"> SEQ Figure \* ARABIC </w:instrText>
      </w:r>
      <w:r w:rsidRPr="00783AE6">
        <w:rPr>
          <w:rFonts w:ascii="Arial Narrow" w:hAnsi="Arial Narrow"/>
        </w:rPr>
        <w:fldChar w:fldCharType="separate"/>
      </w:r>
      <w:r w:rsidR="00244816">
        <w:rPr>
          <w:rFonts w:ascii="Arial Narrow" w:hAnsi="Arial Narrow"/>
          <w:noProof/>
        </w:rPr>
        <w:t>12</w:t>
      </w:r>
      <w:r w:rsidRPr="00783AE6">
        <w:rPr>
          <w:rFonts w:ascii="Arial Narrow" w:hAnsi="Arial Narrow"/>
        </w:rPr>
        <w:fldChar w:fldCharType="end"/>
      </w:r>
      <w:bookmarkEnd w:id="75"/>
      <w:r w:rsidRPr="00783AE6">
        <w:rPr>
          <w:rFonts w:ascii="Arial Narrow" w:hAnsi="Arial Narrow"/>
        </w:rPr>
        <w:t>. GFS 7-day precipitation forecast bar chart for Yap, March 10–16, 2026. Bars show daily accumulated precipitation in millimeters.</w:t>
      </w:r>
      <w:bookmarkEnd w:id="76"/>
    </w:p>
    <w:p w14:paraId="119A456D" w14:textId="5EC5B92F" w:rsidR="00025438" w:rsidRPr="005D4F95" w:rsidRDefault="00025438" w:rsidP="00371DCE">
      <w:pPr>
        <w:spacing w:before="240" w:after="0"/>
        <w:rPr>
          <w:rFonts w:ascii="Arial" w:hAnsi="Arial" w:cs="Arial"/>
          <w:i/>
          <w:iCs/>
          <w:sz w:val="22"/>
          <w:szCs w:val="22"/>
        </w:rPr>
      </w:pPr>
      <w:r w:rsidRPr="005D4F95">
        <w:rPr>
          <w:rFonts w:ascii="Arial" w:hAnsi="Arial" w:cs="Arial"/>
          <w:i/>
          <w:iCs/>
          <w:sz w:val="22"/>
          <w:szCs w:val="22"/>
        </w:rPr>
        <w:t>Weno (Chuuk)</w:t>
      </w:r>
    </w:p>
    <w:p w14:paraId="66662F33" w14:textId="256157CD" w:rsidR="00025438" w:rsidRDefault="00025438" w:rsidP="00775B51">
      <w:r>
        <w:rPr>
          <w:rFonts w:eastAsia="Times New Roman" w:cs="Times New Roman"/>
        </w:rPr>
        <w:t>The Weno forecast shows a 7-day total of 47.1 m</w:t>
      </w:r>
      <w:r w:rsidR="003A5DD8">
        <w:rPr>
          <w:rFonts w:eastAsia="Times New Roman" w:cs="Times New Roman"/>
        </w:rPr>
        <w:t>m</w:t>
      </w:r>
      <w:r>
        <w:rPr>
          <w:rFonts w:eastAsia="Times New Roman" w:cs="Times New Roman"/>
        </w:rPr>
        <w:t xml:space="preserve"> (</w:t>
      </w:r>
      <w:r w:rsidR="00C25E3D">
        <w:rPr>
          <w:rFonts w:eastAsia="Times New Roman" w:cs="Times New Roman"/>
        </w:rPr>
        <w:fldChar w:fldCharType="begin"/>
      </w:r>
      <w:r w:rsidR="00C25E3D">
        <w:rPr>
          <w:rFonts w:eastAsia="Times New Roman" w:cs="Times New Roman"/>
        </w:rPr>
        <w:instrText xml:space="preserve"> REF _Ref227396446 \h </w:instrText>
      </w:r>
      <w:r w:rsidR="00C25E3D">
        <w:rPr>
          <w:rFonts w:eastAsia="Times New Roman" w:cs="Times New Roman"/>
        </w:rPr>
      </w:r>
      <w:r w:rsidR="00C25E3D">
        <w:rPr>
          <w:rFonts w:eastAsia="Times New Roman" w:cs="Times New Roman"/>
        </w:rPr>
        <w:fldChar w:fldCharType="separate"/>
      </w:r>
      <w:r w:rsidR="00244816" w:rsidRPr="009015BE">
        <w:rPr>
          <w:rFonts w:ascii="Arial Narrow" w:hAnsi="Arial Narrow"/>
        </w:rPr>
        <w:t xml:space="preserve">Figure </w:t>
      </w:r>
      <w:r w:rsidR="00244816">
        <w:rPr>
          <w:rFonts w:ascii="Arial Narrow" w:hAnsi="Arial Narrow"/>
          <w:noProof/>
        </w:rPr>
        <w:t>13</w:t>
      </w:r>
      <w:r w:rsidR="00C25E3D">
        <w:rPr>
          <w:rFonts w:eastAsia="Times New Roman" w:cs="Times New Roman"/>
        </w:rPr>
        <w:fldChar w:fldCharType="end"/>
      </w:r>
      <w:r>
        <w:rPr>
          <w:rFonts w:eastAsia="Times New Roman" w:cs="Times New Roman"/>
        </w:rPr>
        <w:t>), characterized by an asymmetric distribution with 18.5 m</w:t>
      </w:r>
      <w:r w:rsidR="003A5DD8">
        <w:rPr>
          <w:rFonts w:eastAsia="Times New Roman" w:cs="Times New Roman"/>
        </w:rPr>
        <w:t>m</w:t>
      </w:r>
      <w:r>
        <w:rPr>
          <w:rFonts w:eastAsia="Times New Roman" w:cs="Times New Roman"/>
        </w:rPr>
        <w:t xml:space="preserve"> on March 10 followed by several days of very low precipitation (0.0 to 2.9 m</w:t>
      </w:r>
      <w:r w:rsidR="00B6575A">
        <w:rPr>
          <w:rFonts w:eastAsia="Times New Roman" w:cs="Times New Roman"/>
        </w:rPr>
        <w:t>m</w:t>
      </w:r>
      <w:r>
        <w:rPr>
          <w:rFonts w:eastAsia="Times New Roman" w:cs="Times New Roman"/>
        </w:rPr>
        <w:t>, March 11–14), then a secondary pulse of 16.7 m</w:t>
      </w:r>
      <w:r w:rsidR="00B6575A">
        <w:rPr>
          <w:rFonts w:eastAsia="Times New Roman" w:cs="Times New Roman"/>
        </w:rPr>
        <w:t>m</w:t>
      </w:r>
      <w:r>
        <w:rPr>
          <w:rFonts w:eastAsia="Times New Roman" w:cs="Times New Roman"/>
        </w:rPr>
        <w:t xml:space="preserve"> on the final day (March 16). This pattern of episodic rainfall interspersed with dry days is typical of the trade-wind convective regime that governs Weno’s precipitation. The 7-day total of 47.1 m</w:t>
      </w:r>
      <w:r w:rsidR="00BF61B3">
        <w:rPr>
          <w:rFonts w:eastAsia="Times New Roman" w:cs="Times New Roman"/>
        </w:rPr>
        <w:t>m</w:t>
      </w:r>
      <w:r>
        <w:rPr>
          <w:rFonts w:eastAsia="Times New Roman" w:cs="Times New Roman"/>
        </w:rPr>
        <w:t xml:space="preserve"> is the </w:t>
      </w:r>
      <w:proofErr w:type="gramStart"/>
      <w:r>
        <w:rPr>
          <w:rFonts w:eastAsia="Times New Roman" w:cs="Times New Roman"/>
        </w:rPr>
        <w:t>second-lowest</w:t>
      </w:r>
      <w:proofErr w:type="gramEnd"/>
      <w:r>
        <w:rPr>
          <w:rFonts w:eastAsia="Times New Roman" w:cs="Times New Roman"/>
        </w:rPr>
        <w:t xml:space="preserve"> among the FSM sites and represents a relatively dry forecast for a location with a baseline March median of approximately 150 m</w:t>
      </w:r>
      <w:r w:rsidR="00C25E3D">
        <w:rPr>
          <w:rFonts w:eastAsia="Times New Roman" w:cs="Times New Roman"/>
        </w:rPr>
        <w:t>m</w:t>
      </w:r>
      <w:r>
        <w:rPr>
          <w:rFonts w:eastAsia="Times New Roman" w:cs="Times New Roman"/>
        </w:rPr>
        <w:t>.</w:t>
      </w:r>
    </w:p>
    <w:p w14:paraId="2DC149CD" w14:textId="77777777" w:rsidR="008334A5" w:rsidRDefault="00025438" w:rsidP="008334A5">
      <w:pPr>
        <w:keepNext/>
        <w:spacing w:before="160" w:after="60"/>
      </w:pPr>
      <w:r>
        <w:rPr>
          <w:noProof/>
        </w:rPr>
        <w:drawing>
          <wp:inline distT="0" distB="0" distL="0" distR="0" wp14:anchorId="0672907F" wp14:editId="741E1AD2">
            <wp:extent cx="5048250" cy="2952750"/>
            <wp:effectExtent l="0" t="0" r="0" b="0"/>
            <wp:docPr id="1161490108" name="Weno Forecast" descr="Bar chart of 7-day GFS precipitation forecast for Weno." title="Weno Foreca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23"/>
                    <a:srcRect/>
                    <a:stretch>
                      <a:fillRect/>
                    </a:stretch>
                  </pic:blipFill>
                  <pic:spPr bwMode="auto">
                    <a:xfrm>
                      <a:off x="0" y="0"/>
                      <a:ext cx="5048250" cy="2952750"/>
                    </a:xfrm>
                    <a:prstGeom prst="rect">
                      <a:avLst/>
                    </a:prstGeom>
                  </pic:spPr>
                </pic:pic>
              </a:graphicData>
            </a:graphic>
          </wp:inline>
        </w:drawing>
      </w:r>
    </w:p>
    <w:p w14:paraId="792DB81A" w14:textId="6A11F62F" w:rsidR="00025438" w:rsidRPr="009015BE" w:rsidRDefault="008334A5" w:rsidP="008334A5">
      <w:pPr>
        <w:pStyle w:val="Caption"/>
        <w:rPr>
          <w:rFonts w:ascii="Arial Narrow" w:hAnsi="Arial Narrow"/>
        </w:rPr>
      </w:pPr>
      <w:bookmarkStart w:id="77" w:name="_Ref227396446"/>
      <w:bookmarkStart w:id="78" w:name="_Toc227410285"/>
      <w:r w:rsidRPr="009015BE">
        <w:rPr>
          <w:rFonts w:ascii="Arial Narrow" w:hAnsi="Arial Narrow"/>
        </w:rPr>
        <w:t xml:space="preserve">Figure </w:t>
      </w:r>
      <w:r w:rsidRPr="009015BE">
        <w:rPr>
          <w:rFonts w:ascii="Arial Narrow" w:hAnsi="Arial Narrow"/>
        </w:rPr>
        <w:fldChar w:fldCharType="begin"/>
      </w:r>
      <w:r w:rsidRPr="009015BE">
        <w:rPr>
          <w:rFonts w:ascii="Arial Narrow" w:hAnsi="Arial Narrow"/>
        </w:rPr>
        <w:instrText xml:space="preserve"> SEQ Figure \* ARABIC </w:instrText>
      </w:r>
      <w:r w:rsidRPr="009015BE">
        <w:rPr>
          <w:rFonts w:ascii="Arial Narrow" w:hAnsi="Arial Narrow"/>
        </w:rPr>
        <w:fldChar w:fldCharType="separate"/>
      </w:r>
      <w:r w:rsidR="00244816">
        <w:rPr>
          <w:rFonts w:ascii="Arial Narrow" w:hAnsi="Arial Narrow"/>
          <w:noProof/>
        </w:rPr>
        <w:t>13</w:t>
      </w:r>
      <w:r w:rsidRPr="009015BE">
        <w:rPr>
          <w:rFonts w:ascii="Arial Narrow" w:hAnsi="Arial Narrow"/>
        </w:rPr>
        <w:fldChar w:fldCharType="end"/>
      </w:r>
      <w:bookmarkEnd w:id="77"/>
      <w:r w:rsidRPr="009015BE">
        <w:rPr>
          <w:rFonts w:ascii="Arial Narrow" w:hAnsi="Arial Narrow"/>
        </w:rPr>
        <w:t>. GFS 7-day precipitation forecast bar chart for Weno (Chuuk), March 10–16, 2026.</w:t>
      </w:r>
      <w:bookmarkEnd w:id="78"/>
    </w:p>
    <w:p w14:paraId="1E43EF3B" w14:textId="6CB865D0" w:rsidR="00025438" w:rsidRPr="005D4F95" w:rsidRDefault="00025438" w:rsidP="00775B51">
      <w:pPr>
        <w:rPr>
          <w:rFonts w:ascii="Arial" w:hAnsi="Arial" w:cs="Arial"/>
          <w:i/>
          <w:iCs/>
          <w:sz w:val="22"/>
          <w:szCs w:val="22"/>
        </w:rPr>
      </w:pPr>
      <w:r w:rsidRPr="005D4F95">
        <w:rPr>
          <w:rFonts w:ascii="Arial" w:hAnsi="Arial" w:cs="Arial"/>
          <w:i/>
          <w:iCs/>
          <w:sz w:val="22"/>
          <w:szCs w:val="22"/>
        </w:rPr>
        <w:t>Pohnpei</w:t>
      </w:r>
    </w:p>
    <w:p w14:paraId="2F3D5B23" w14:textId="4290F66F" w:rsidR="00025438" w:rsidRDefault="00025438" w:rsidP="00775B51">
      <w:r>
        <w:rPr>
          <w:rFonts w:eastAsia="Times New Roman" w:cs="Times New Roman"/>
        </w:rPr>
        <w:t>The Pohnpei forecast shows the lowest 7-day total among the FSM sites at 43.2 millimeters (</w:t>
      </w:r>
      <w:r w:rsidR="00B956E4">
        <w:rPr>
          <w:rFonts w:eastAsia="Times New Roman" w:cs="Times New Roman"/>
        </w:rPr>
        <w:fldChar w:fldCharType="begin"/>
      </w:r>
      <w:r w:rsidR="00B956E4">
        <w:rPr>
          <w:rFonts w:eastAsia="Times New Roman" w:cs="Times New Roman"/>
        </w:rPr>
        <w:instrText xml:space="preserve"> REF _Ref227396626 \h </w:instrText>
      </w:r>
      <w:r w:rsidR="00B956E4">
        <w:rPr>
          <w:rFonts w:eastAsia="Times New Roman" w:cs="Times New Roman"/>
        </w:rPr>
      </w:r>
      <w:r w:rsidR="00B956E4">
        <w:rPr>
          <w:rFonts w:eastAsia="Times New Roman" w:cs="Times New Roman"/>
        </w:rPr>
        <w:fldChar w:fldCharType="separate"/>
      </w:r>
      <w:r w:rsidR="00244816" w:rsidRPr="009015BE">
        <w:rPr>
          <w:rFonts w:ascii="Arial Narrow" w:hAnsi="Arial Narrow"/>
        </w:rPr>
        <w:t xml:space="preserve">Figure </w:t>
      </w:r>
      <w:r w:rsidR="00244816">
        <w:rPr>
          <w:rFonts w:ascii="Arial Narrow" w:hAnsi="Arial Narrow"/>
          <w:noProof/>
        </w:rPr>
        <w:t>14</w:t>
      </w:r>
      <w:r w:rsidR="00B956E4">
        <w:rPr>
          <w:rFonts w:eastAsia="Times New Roman" w:cs="Times New Roman"/>
        </w:rPr>
        <w:fldChar w:fldCharType="end"/>
      </w:r>
      <w:r>
        <w:rPr>
          <w:rFonts w:eastAsia="Times New Roman" w:cs="Times New Roman"/>
        </w:rPr>
        <w:t xml:space="preserve">). Nearly </w:t>
      </w:r>
      <w:proofErr w:type="gramStart"/>
      <w:r>
        <w:rPr>
          <w:rFonts w:eastAsia="Times New Roman" w:cs="Times New Roman"/>
        </w:rPr>
        <w:t>all of</w:t>
      </w:r>
      <w:proofErr w:type="gramEnd"/>
      <w:r>
        <w:rPr>
          <w:rFonts w:eastAsia="Times New Roman" w:cs="Times New Roman"/>
        </w:rPr>
        <w:t xml:space="preserve"> the expected precipitation is concentrated on the first day (23.2 millimeters on March 10), with the remaining 6 days producing only 0.0 to 6.4 millimeters each. For Pohnpei</w:t>
      </w:r>
      <w:r w:rsidR="00CC6008">
        <w:rPr>
          <w:rFonts w:eastAsia="Times New Roman" w:cs="Times New Roman"/>
        </w:rPr>
        <w:t xml:space="preserve">, </w:t>
      </w:r>
      <w:r>
        <w:rPr>
          <w:rFonts w:eastAsia="Times New Roman" w:cs="Times New Roman"/>
        </w:rPr>
        <w:t>which normally receives year-round heavy rainfall</w:t>
      </w:r>
      <w:r w:rsidR="009D4A71">
        <w:rPr>
          <w:rFonts w:eastAsia="Times New Roman" w:cs="Times New Roman"/>
        </w:rPr>
        <w:t>,</w:t>
      </w:r>
      <w:r>
        <w:rPr>
          <w:rFonts w:eastAsia="Times New Roman" w:cs="Times New Roman"/>
        </w:rPr>
        <w:t xml:space="preserve"> a 7-day total this low is noteworthy. However, it should be interpreted with the caveat that GFS forecasts at this resolution may underestimate convective precipitation in high-rainfall orographic environments such as Pohnpei’s volcanic terrain. The forecast does not trigger either the daily or weekly alert threshold.</w:t>
      </w:r>
    </w:p>
    <w:p w14:paraId="632B8272" w14:textId="77777777" w:rsidR="007E34B4" w:rsidRDefault="00025438" w:rsidP="007E34B4">
      <w:pPr>
        <w:keepNext/>
        <w:spacing w:before="160" w:after="60"/>
      </w:pPr>
      <w:r>
        <w:rPr>
          <w:noProof/>
        </w:rPr>
        <w:drawing>
          <wp:inline distT="0" distB="0" distL="0" distR="0" wp14:anchorId="41F7DD74" wp14:editId="5CF78C05">
            <wp:extent cx="5048250" cy="2952750"/>
            <wp:effectExtent l="0" t="0" r="0" b="0"/>
            <wp:docPr id="283525437" name="Pohnpei Forecast" descr="Bar chart of 7-day GFS precipitation forecast for Pohnpei." title="Pohnpei Foreca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24"/>
                    <a:srcRect/>
                    <a:stretch>
                      <a:fillRect/>
                    </a:stretch>
                  </pic:blipFill>
                  <pic:spPr bwMode="auto">
                    <a:xfrm>
                      <a:off x="0" y="0"/>
                      <a:ext cx="5048250" cy="2952750"/>
                    </a:xfrm>
                    <a:prstGeom prst="rect">
                      <a:avLst/>
                    </a:prstGeom>
                  </pic:spPr>
                </pic:pic>
              </a:graphicData>
            </a:graphic>
          </wp:inline>
        </w:drawing>
      </w:r>
    </w:p>
    <w:p w14:paraId="5FDE2A1A" w14:textId="008DC289" w:rsidR="00025438" w:rsidRPr="009015BE" w:rsidRDefault="007E34B4" w:rsidP="007E34B4">
      <w:pPr>
        <w:pStyle w:val="Caption"/>
        <w:rPr>
          <w:rFonts w:ascii="Arial Narrow" w:hAnsi="Arial Narrow"/>
        </w:rPr>
      </w:pPr>
      <w:bookmarkStart w:id="79" w:name="_Ref227396626"/>
      <w:bookmarkStart w:id="80" w:name="_Toc227410286"/>
      <w:r w:rsidRPr="009015BE">
        <w:rPr>
          <w:rFonts w:ascii="Arial Narrow" w:hAnsi="Arial Narrow"/>
        </w:rPr>
        <w:t xml:space="preserve">Figure </w:t>
      </w:r>
      <w:r w:rsidRPr="009015BE">
        <w:rPr>
          <w:rFonts w:ascii="Arial Narrow" w:hAnsi="Arial Narrow"/>
        </w:rPr>
        <w:fldChar w:fldCharType="begin"/>
      </w:r>
      <w:r w:rsidRPr="009015BE">
        <w:rPr>
          <w:rFonts w:ascii="Arial Narrow" w:hAnsi="Arial Narrow"/>
        </w:rPr>
        <w:instrText xml:space="preserve"> SEQ Figure \* ARABIC </w:instrText>
      </w:r>
      <w:r w:rsidRPr="009015BE">
        <w:rPr>
          <w:rFonts w:ascii="Arial Narrow" w:hAnsi="Arial Narrow"/>
        </w:rPr>
        <w:fldChar w:fldCharType="separate"/>
      </w:r>
      <w:r w:rsidR="00244816">
        <w:rPr>
          <w:rFonts w:ascii="Arial Narrow" w:hAnsi="Arial Narrow"/>
          <w:noProof/>
        </w:rPr>
        <w:t>14</w:t>
      </w:r>
      <w:r w:rsidRPr="009015BE">
        <w:rPr>
          <w:rFonts w:ascii="Arial Narrow" w:hAnsi="Arial Narrow"/>
        </w:rPr>
        <w:fldChar w:fldCharType="end"/>
      </w:r>
      <w:bookmarkEnd w:id="79"/>
      <w:r w:rsidRPr="009015BE">
        <w:rPr>
          <w:rFonts w:ascii="Arial Narrow" w:hAnsi="Arial Narrow"/>
        </w:rPr>
        <w:t>. GFS 7-day precipitation forecast bar chart for Pohnpei, March 10–16, 2026.</w:t>
      </w:r>
      <w:bookmarkEnd w:id="80"/>
    </w:p>
    <w:p w14:paraId="3D799D17" w14:textId="77777777" w:rsidR="007E34B4" w:rsidRPr="007E34B4" w:rsidRDefault="007E34B4" w:rsidP="007E34B4"/>
    <w:p w14:paraId="0CC181A7" w14:textId="34D812F8" w:rsidR="00025438" w:rsidRPr="005D4F95" w:rsidRDefault="00025438" w:rsidP="00775B51">
      <w:pPr>
        <w:spacing w:after="0"/>
        <w:rPr>
          <w:rFonts w:ascii="Arial" w:hAnsi="Arial" w:cs="Arial"/>
          <w:i/>
          <w:iCs/>
          <w:sz w:val="22"/>
          <w:szCs w:val="22"/>
        </w:rPr>
      </w:pPr>
      <w:r w:rsidRPr="005D4F95">
        <w:rPr>
          <w:rFonts w:ascii="Arial" w:hAnsi="Arial" w:cs="Arial"/>
          <w:i/>
          <w:iCs/>
          <w:sz w:val="22"/>
          <w:szCs w:val="22"/>
        </w:rPr>
        <w:t>Kosrae</w:t>
      </w:r>
    </w:p>
    <w:p w14:paraId="76979844" w14:textId="2E0D6AA1" w:rsidR="00025438" w:rsidRDefault="00025438" w:rsidP="00775B51">
      <w:r>
        <w:rPr>
          <w:rFonts w:eastAsia="Times New Roman" w:cs="Times New Roman"/>
        </w:rPr>
        <w:t>The Kosrae forecast shows the highest 7-day total among the FSM sites at 64.5 m</w:t>
      </w:r>
      <w:r w:rsidR="009015BE">
        <w:rPr>
          <w:rFonts w:eastAsia="Times New Roman" w:cs="Times New Roman"/>
        </w:rPr>
        <w:t>m</w:t>
      </w:r>
      <w:r>
        <w:rPr>
          <w:rFonts w:eastAsia="Times New Roman" w:cs="Times New Roman"/>
        </w:rPr>
        <w:t xml:space="preserve"> </w:t>
      </w:r>
      <w:r w:rsidRPr="00D02207">
        <w:rPr>
          <w:rFonts w:eastAsia="Times New Roman" w:cs="Times New Roman"/>
        </w:rPr>
        <w:t>(</w:t>
      </w:r>
      <w:r w:rsidR="00D02207" w:rsidRPr="00D02207">
        <w:rPr>
          <w:rFonts w:eastAsia="Times New Roman" w:cs="Times New Roman"/>
        </w:rPr>
        <w:fldChar w:fldCharType="begin"/>
      </w:r>
      <w:r w:rsidR="00D02207" w:rsidRPr="00D02207">
        <w:rPr>
          <w:rFonts w:eastAsia="Times New Roman" w:cs="Times New Roman"/>
        </w:rPr>
        <w:instrText xml:space="preserve"> REF _Ref227396708 \h </w:instrText>
      </w:r>
      <w:r w:rsidR="00D02207">
        <w:rPr>
          <w:rFonts w:eastAsia="Times New Roman" w:cs="Times New Roman"/>
        </w:rPr>
        <w:instrText xml:space="preserve"> \* MERGEFORMAT </w:instrText>
      </w:r>
      <w:r w:rsidR="00D02207" w:rsidRPr="00D02207">
        <w:rPr>
          <w:rFonts w:eastAsia="Times New Roman" w:cs="Times New Roman"/>
        </w:rPr>
      </w:r>
      <w:r w:rsidR="00D02207" w:rsidRPr="00D02207">
        <w:rPr>
          <w:rFonts w:eastAsia="Times New Roman" w:cs="Times New Roman"/>
        </w:rPr>
        <w:fldChar w:fldCharType="separate"/>
      </w:r>
      <w:r w:rsidR="00244816" w:rsidRPr="00244816">
        <w:rPr>
          <w:rFonts w:cs="Times New Roman"/>
        </w:rPr>
        <w:t xml:space="preserve">Figure </w:t>
      </w:r>
      <w:r w:rsidR="00244816" w:rsidRPr="00244816">
        <w:rPr>
          <w:rFonts w:cs="Times New Roman"/>
          <w:noProof/>
        </w:rPr>
        <w:t>15</w:t>
      </w:r>
      <w:r w:rsidR="00D02207" w:rsidRPr="00D02207">
        <w:rPr>
          <w:rFonts w:eastAsia="Times New Roman" w:cs="Times New Roman"/>
        </w:rPr>
        <w:fldChar w:fldCharType="end"/>
      </w:r>
      <w:r w:rsidRPr="00D02207">
        <w:rPr>
          <w:rFonts w:eastAsia="Times New Roman" w:cs="Times New Roman"/>
        </w:rPr>
        <w:t>).</w:t>
      </w:r>
      <w:r>
        <w:rPr>
          <w:rFonts w:eastAsia="Times New Roman" w:cs="Times New Roman"/>
        </w:rPr>
        <w:t xml:space="preserve"> The distribution is bimodal, with a moderate first day (10.6 m</w:t>
      </w:r>
      <w:r w:rsidR="009015BE">
        <w:rPr>
          <w:rFonts w:eastAsia="Times New Roman" w:cs="Times New Roman"/>
        </w:rPr>
        <w:t>m</w:t>
      </w:r>
      <w:r>
        <w:rPr>
          <w:rFonts w:eastAsia="Times New Roman" w:cs="Times New Roman"/>
        </w:rPr>
        <w:t xml:space="preserve"> on March 10) followed by the peak of the period on March 11 (26.9 m</w:t>
      </w:r>
      <w:r w:rsidR="009015BE">
        <w:rPr>
          <w:rFonts w:eastAsia="Times New Roman" w:cs="Times New Roman"/>
        </w:rPr>
        <w:t>m</w:t>
      </w:r>
      <w:r>
        <w:rPr>
          <w:rFonts w:eastAsia="Times New Roman" w:cs="Times New Roman"/>
        </w:rPr>
        <w:t>), a mid-week lull, and a secondary moderate-rainfall day on March 15 (10.2 m</w:t>
      </w:r>
      <w:r w:rsidR="009015BE">
        <w:rPr>
          <w:rFonts w:eastAsia="Times New Roman" w:cs="Times New Roman"/>
        </w:rPr>
        <w:t>m</w:t>
      </w:r>
      <w:r>
        <w:rPr>
          <w:rFonts w:eastAsia="Times New Roman" w:cs="Times New Roman"/>
        </w:rPr>
        <w:t>). The 26.9-m</w:t>
      </w:r>
      <w:r w:rsidR="009015BE">
        <w:rPr>
          <w:rFonts w:eastAsia="Times New Roman" w:cs="Times New Roman"/>
        </w:rPr>
        <w:t>m</w:t>
      </w:r>
      <w:r>
        <w:rPr>
          <w:rFonts w:eastAsia="Times New Roman" w:cs="Times New Roman"/>
        </w:rPr>
        <w:t xml:space="preserve"> forecast for March 11 represents the highest single-day value in this forecast cycle across </w:t>
      </w:r>
      <w:proofErr w:type="gramStart"/>
      <w:r>
        <w:rPr>
          <w:rFonts w:eastAsia="Times New Roman" w:cs="Times New Roman"/>
        </w:rPr>
        <w:t>the FSM</w:t>
      </w:r>
      <w:proofErr w:type="gramEnd"/>
      <w:r>
        <w:rPr>
          <w:rFonts w:eastAsia="Times New Roman" w:cs="Times New Roman"/>
        </w:rPr>
        <w:t xml:space="preserve"> sites. While no alert thresholds are exceeded, the Kosrae forecast suggests more active convective conditions than at the other three sites during this period.</w:t>
      </w:r>
    </w:p>
    <w:p w14:paraId="433701EC" w14:textId="77777777" w:rsidR="00732C39" w:rsidRDefault="00025438" w:rsidP="00732C39">
      <w:pPr>
        <w:keepNext/>
        <w:spacing w:before="160" w:after="60"/>
      </w:pPr>
      <w:r>
        <w:rPr>
          <w:noProof/>
        </w:rPr>
        <w:drawing>
          <wp:inline distT="0" distB="0" distL="0" distR="0" wp14:anchorId="1FC396B3" wp14:editId="2D7926AC">
            <wp:extent cx="5048250" cy="2952750"/>
            <wp:effectExtent l="0" t="0" r="0" b="0"/>
            <wp:docPr id="2017139362" name="Kosrae Forecast" descr="Bar chart of 7-day GFS precipitation forecast for Kosrae." title="Kosrae Foreca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25"/>
                    <a:srcRect/>
                    <a:stretch>
                      <a:fillRect/>
                    </a:stretch>
                  </pic:blipFill>
                  <pic:spPr bwMode="auto">
                    <a:xfrm>
                      <a:off x="0" y="0"/>
                      <a:ext cx="5048250" cy="2952750"/>
                    </a:xfrm>
                    <a:prstGeom prst="rect">
                      <a:avLst/>
                    </a:prstGeom>
                  </pic:spPr>
                </pic:pic>
              </a:graphicData>
            </a:graphic>
          </wp:inline>
        </w:drawing>
      </w:r>
    </w:p>
    <w:p w14:paraId="30B9562D" w14:textId="6554AAC5" w:rsidR="00025438" w:rsidRPr="00A52C7D" w:rsidRDefault="00732C39" w:rsidP="00732C39">
      <w:pPr>
        <w:pStyle w:val="Caption"/>
        <w:rPr>
          <w:rFonts w:ascii="Arial Narrow" w:hAnsi="Arial Narrow"/>
        </w:rPr>
      </w:pPr>
      <w:bookmarkStart w:id="81" w:name="_Ref227396708"/>
      <w:bookmarkStart w:id="82" w:name="_Toc227410287"/>
      <w:r w:rsidRPr="00A52C7D">
        <w:rPr>
          <w:rFonts w:ascii="Arial Narrow" w:hAnsi="Arial Narrow"/>
        </w:rPr>
        <w:t xml:space="preserve">Figure </w:t>
      </w:r>
      <w:r w:rsidRPr="00A52C7D">
        <w:rPr>
          <w:rFonts w:ascii="Arial Narrow" w:hAnsi="Arial Narrow"/>
        </w:rPr>
        <w:fldChar w:fldCharType="begin"/>
      </w:r>
      <w:r w:rsidRPr="00A52C7D">
        <w:rPr>
          <w:rFonts w:ascii="Arial Narrow" w:hAnsi="Arial Narrow"/>
        </w:rPr>
        <w:instrText xml:space="preserve"> SEQ Figure \* ARABIC </w:instrText>
      </w:r>
      <w:r w:rsidRPr="00A52C7D">
        <w:rPr>
          <w:rFonts w:ascii="Arial Narrow" w:hAnsi="Arial Narrow"/>
        </w:rPr>
        <w:fldChar w:fldCharType="separate"/>
      </w:r>
      <w:r w:rsidR="00244816">
        <w:rPr>
          <w:rFonts w:ascii="Arial Narrow" w:hAnsi="Arial Narrow"/>
          <w:noProof/>
        </w:rPr>
        <w:t>15</w:t>
      </w:r>
      <w:r w:rsidRPr="00A52C7D">
        <w:rPr>
          <w:rFonts w:ascii="Arial Narrow" w:hAnsi="Arial Narrow"/>
        </w:rPr>
        <w:fldChar w:fldCharType="end"/>
      </w:r>
      <w:bookmarkEnd w:id="81"/>
      <w:r w:rsidRPr="00A52C7D">
        <w:rPr>
          <w:rFonts w:ascii="Arial Narrow" w:hAnsi="Arial Narrow"/>
        </w:rPr>
        <w:t>. GFS 7-day precipitation forecast bar chart for Kosrae, March 10–16, 2026.</w:t>
      </w:r>
      <w:bookmarkEnd w:id="82"/>
    </w:p>
    <w:p w14:paraId="512BBE5C" w14:textId="0A090A48" w:rsidR="00025438" w:rsidRDefault="00025438" w:rsidP="00775B51">
      <w:pPr>
        <w:spacing w:after="240"/>
      </w:pPr>
    </w:p>
    <w:p w14:paraId="1632AA3D" w14:textId="77777777" w:rsidR="00025438" w:rsidRDefault="00025438" w:rsidP="00775B51">
      <w:r>
        <w:br w:type="page"/>
      </w:r>
    </w:p>
    <w:p w14:paraId="5C224A0E" w14:textId="15577FB1" w:rsidR="00025438" w:rsidRPr="004D0871" w:rsidRDefault="00025438" w:rsidP="00775B51">
      <w:pPr>
        <w:spacing w:after="0"/>
        <w:rPr>
          <w:rFonts w:ascii="Arial" w:hAnsi="Arial" w:cs="Arial"/>
          <w:b/>
          <w:bCs/>
          <w:i/>
          <w:iCs/>
          <w:sz w:val="22"/>
          <w:szCs w:val="22"/>
        </w:rPr>
      </w:pPr>
      <w:r w:rsidRPr="004D0871">
        <w:rPr>
          <w:rFonts w:ascii="Arial" w:hAnsi="Arial" w:cs="Arial"/>
          <w:b/>
          <w:bCs/>
          <w:i/>
          <w:iCs/>
          <w:sz w:val="22"/>
          <w:szCs w:val="22"/>
        </w:rPr>
        <w:t>Forecast Utility and Interpretation</w:t>
      </w:r>
    </w:p>
    <w:p w14:paraId="2A7FF48C" w14:textId="6801EE77" w:rsidR="00025438" w:rsidRDefault="00025438" w:rsidP="00775B51">
      <w:r>
        <w:rPr>
          <w:rFonts w:eastAsia="Times New Roman" w:cs="Times New Roman"/>
        </w:rPr>
        <w:t>The March 10–16, 2026 forecast demonstrates the type of near-term guidance that the GFS-based system provides to water managers across the FSM. During this forecast period, all four sites received moderate to low predicted rainfall with no alert-level events, a finding that is operationally relevant for managers at drought-affected locations such as Yap, where extended below-normal conditions have been documented in the companion drought monitoring volume. A forecast of 63.6 millimeters over 7 days at Yap</w:t>
      </w:r>
      <w:r w:rsidR="008A3D64">
        <w:rPr>
          <w:rFonts w:eastAsia="Times New Roman" w:cs="Times New Roman"/>
        </w:rPr>
        <w:t xml:space="preserve">, </w:t>
      </w:r>
      <w:r>
        <w:rPr>
          <w:rFonts w:eastAsia="Times New Roman" w:cs="Times New Roman"/>
        </w:rPr>
        <w:t>while not negligible</w:t>
      </w:r>
      <w:r w:rsidR="008A3D64">
        <w:rPr>
          <w:rFonts w:eastAsia="Times New Roman" w:cs="Times New Roman"/>
        </w:rPr>
        <w:t xml:space="preserve">, </w:t>
      </w:r>
      <w:r>
        <w:rPr>
          <w:rFonts w:eastAsia="Times New Roman" w:cs="Times New Roman"/>
        </w:rPr>
        <w:t>signals to water managers that the coming week is unlikely to produce rainfall sufficient to substantially replenish depleted catchment reserves, reinforcing the need for continued conservation measures.</w:t>
      </w:r>
    </w:p>
    <w:p w14:paraId="09D56333" w14:textId="77777777" w:rsidR="00025438" w:rsidRDefault="00025438" w:rsidP="008F6C76">
      <w:pPr>
        <w:spacing w:after="240"/>
        <w:ind w:firstLine="720"/>
      </w:pPr>
      <w:r>
        <w:rPr>
          <w:rFonts w:eastAsia="Times New Roman" w:cs="Times New Roman"/>
        </w:rPr>
        <w:t>The forecast is most useful when interpreted alongside the drought monitoring results. A 7-day forecast showing no alert-level precipitation at a site currently experiencing Drier conditions at the 3-month and 6-month Rainfall Index windows confirms that the near-term outlook does not offer relief from the ongoing deficit. Conversely, a forecast showing daily totals exceeding 50 millimeters at such a site would signal a potential recovery event worthy of operational attention. This complementary relationship between backward-looking monitoring and forward-looking forecasting is the central design principle of the integrated system.</w:t>
      </w:r>
    </w:p>
    <w:p w14:paraId="54BA6AEF" w14:textId="3CAC117D" w:rsidR="00025438" w:rsidRPr="00052399" w:rsidRDefault="00025438" w:rsidP="00775B51">
      <w:pPr>
        <w:spacing w:before="240" w:after="0"/>
        <w:rPr>
          <w:rFonts w:ascii="Arial" w:hAnsi="Arial" w:cs="Arial"/>
          <w:b/>
          <w:bCs/>
          <w:i/>
          <w:iCs/>
          <w:sz w:val="22"/>
          <w:szCs w:val="22"/>
        </w:rPr>
      </w:pPr>
      <w:r w:rsidRPr="00052399">
        <w:rPr>
          <w:rFonts w:ascii="Arial" w:hAnsi="Arial" w:cs="Arial"/>
          <w:b/>
          <w:bCs/>
          <w:i/>
          <w:iCs/>
          <w:sz w:val="22"/>
          <w:szCs w:val="22"/>
        </w:rPr>
        <w:t>Operational Workflow</w:t>
      </w:r>
    </w:p>
    <w:p w14:paraId="0EA52493" w14:textId="2889090D" w:rsidR="00025438" w:rsidRDefault="00025438" w:rsidP="00775B51">
      <w:r>
        <w:rPr>
          <w:rFonts w:eastAsia="Times New Roman" w:cs="Times New Roman"/>
        </w:rPr>
        <w:t xml:space="preserve">The forecasting system is designed for routine operational deployment on a schedule aligned with the GFS model update cycle. Each forecast run retrieves the most recent GFS data, processes it for all monitoring locations, generates the standard suite of output products (bar charts, animation maps, summary tables, and README), packages the outputs into a distributable archive, and transmits the package to designated recipients via automated email. The entire processing chain completes in approximately </w:t>
      </w:r>
      <w:r w:rsidR="00C26228">
        <w:rPr>
          <w:rFonts w:eastAsia="Times New Roman" w:cs="Times New Roman"/>
        </w:rPr>
        <w:t>30</w:t>
      </w:r>
      <w:r>
        <w:rPr>
          <w:rFonts w:eastAsia="Times New Roman" w:cs="Times New Roman"/>
        </w:rPr>
        <w:t xml:space="preserve"> minutes, enabling same-day delivery of updated forecasts. The system has been implemented to support weekly or more frequent forecast distribution, depending on stakeholder needs and the current drought status of the monitored locations.</w:t>
      </w:r>
    </w:p>
    <w:p w14:paraId="669F7428" w14:textId="221A5CF8" w:rsidR="00025438" w:rsidRDefault="00025438" w:rsidP="00775B51">
      <w:r>
        <w:rPr>
          <w:rFonts w:eastAsia="Times New Roman" w:cs="Times New Roman"/>
        </w:rPr>
        <w:t xml:space="preserve">This </w:t>
      </w:r>
      <w:r w:rsidR="00EA0C96">
        <w:rPr>
          <w:rFonts w:eastAsia="Times New Roman" w:cs="Times New Roman"/>
        </w:rPr>
        <w:t xml:space="preserve">section </w:t>
      </w:r>
      <w:r>
        <w:rPr>
          <w:rFonts w:eastAsia="Times New Roman" w:cs="Times New Roman"/>
        </w:rPr>
        <w:t xml:space="preserve">documented the 7-day GFS precipitation forecasting system developed for four </w:t>
      </w:r>
      <w:r w:rsidR="00EA0C96">
        <w:rPr>
          <w:rFonts w:eastAsia="Times New Roman" w:cs="Times New Roman"/>
        </w:rPr>
        <w:t>study</w:t>
      </w:r>
      <w:r>
        <w:rPr>
          <w:rFonts w:eastAsia="Times New Roman" w:cs="Times New Roman"/>
        </w:rPr>
        <w:t xml:space="preserve"> locations in the Federated States of Micronesia and presented the March 10–16, 2026 forecast as a demonstration of operational output. The principal findings are as follows.</w:t>
      </w:r>
    </w:p>
    <w:p w14:paraId="0E38151A" w14:textId="03A2BF88" w:rsidR="00025438" w:rsidRDefault="00025438" w:rsidP="00775B51">
      <w:pPr>
        <w:ind w:firstLine="720"/>
      </w:pPr>
      <w:r>
        <w:rPr>
          <w:rFonts w:eastAsia="Times New Roman" w:cs="Times New Roman"/>
        </w:rPr>
        <w:t xml:space="preserve">The forecasting system retrieves NOAA GFS forecast data at 0.25° resolution, extracts daily accumulated precipitation for each monitoring location, applies operational alert thresholds, and generates a standardized suite of output products including bar charts, spatial animations, summary tables, and a packaged distribution archive. The processing pipeline completes in approximately </w:t>
      </w:r>
      <w:r w:rsidR="00CD3E08">
        <w:rPr>
          <w:rFonts w:eastAsia="Times New Roman" w:cs="Times New Roman"/>
        </w:rPr>
        <w:t>30</w:t>
      </w:r>
      <w:r>
        <w:rPr>
          <w:rFonts w:eastAsia="Times New Roman" w:cs="Times New Roman"/>
        </w:rPr>
        <w:t xml:space="preserve"> minutes and is designed for automated, routine deployment.</w:t>
      </w:r>
    </w:p>
    <w:p w14:paraId="152F57FF" w14:textId="45F00408" w:rsidR="00D72C11" w:rsidRDefault="00025438" w:rsidP="00D72C11">
      <w:pPr>
        <w:ind w:firstLine="720"/>
      </w:pPr>
      <w:r>
        <w:rPr>
          <w:rFonts w:eastAsia="Times New Roman" w:cs="Times New Roman"/>
        </w:rPr>
        <w:t>The March 10–16, 2026 demonstration forecast showed 7-day totals ranging from 43.2 m</w:t>
      </w:r>
      <w:r w:rsidR="001E592A">
        <w:rPr>
          <w:rFonts w:eastAsia="Times New Roman" w:cs="Times New Roman"/>
        </w:rPr>
        <w:t>m</w:t>
      </w:r>
      <w:r>
        <w:rPr>
          <w:rFonts w:eastAsia="Times New Roman" w:cs="Times New Roman"/>
        </w:rPr>
        <w:t xml:space="preserve"> at Pohnpei to 64.5 m</w:t>
      </w:r>
      <w:r w:rsidR="001E592A">
        <w:rPr>
          <w:rFonts w:eastAsia="Times New Roman" w:cs="Times New Roman"/>
        </w:rPr>
        <w:t>m</w:t>
      </w:r>
      <w:r>
        <w:rPr>
          <w:rFonts w:eastAsia="Times New Roman" w:cs="Times New Roman"/>
        </w:rPr>
        <w:t xml:space="preserve"> at Kosrae, with no daily or weekly alert thresholds exceeded. This moderate-to-low forecast is operationally relevant for drought-affected locations, as it signals to water managers that the near-term outlook does not include substantial rainfall relief.</w:t>
      </w:r>
    </w:p>
    <w:p w14:paraId="21C15662" w14:textId="26A21C8E" w:rsidR="00025438" w:rsidRDefault="00025438" w:rsidP="00D72C11">
      <w:pPr>
        <w:ind w:firstLine="720"/>
      </w:pPr>
      <w:r>
        <w:rPr>
          <w:rFonts w:eastAsia="Times New Roman" w:cs="Times New Roman"/>
        </w:rPr>
        <w:t>The forecasting system fills a critical gap in water management across the FSM, where sparse ground-based weather station networks and limited access to numerical weather prediction products have historically left many communities without reliable short-term rainfall outlooks. When used in conjunction with the IMERG-based drought monitoring system, the combined backward-looking and forward-looking capabilities provide a comprehensive precipitation intelligence framework for Pacific Island water supply management.</w:t>
      </w:r>
    </w:p>
    <w:p w14:paraId="0879FA22" w14:textId="59ED036D" w:rsidR="00F37C83" w:rsidRPr="004836C2" w:rsidRDefault="00F37C83" w:rsidP="004836C2">
      <w:pPr>
        <w:pStyle w:val="Head3"/>
      </w:pPr>
      <w:bookmarkStart w:id="83" w:name="_Toc228288438"/>
      <w:r w:rsidRPr="004836C2">
        <w:t>Seismicity</w:t>
      </w:r>
      <w:bookmarkEnd w:id="83"/>
    </w:p>
    <w:p w14:paraId="0CF9E5D7" w14:textId="203FA5F7" w:rsidR="00D33224" w:rsidRDefault="00DF7E1B" w:rsidP="00AB4E2C">
      <w:pPr>
        <w:pStyle w:val="BodyText"/>
      </w:pPr>
      <w:r w:rsidRPr="00DF7E1B">
        <w:t>Kosrae is a deeply eroded basaltic volcanic edifice (shield‑type) with rugged relief and narrow coastal lowlands</w:t>
      </w:r>
      <w:r w:rsidR="004123AB">
        <w:t xml:space="preserve"> (</w:t>
      </w:r>
      <w:r w:rsidR="00127EB0">
        <w:t>Rehman and others, 2013, USGS</w:t>
      </w:r>
      <w:r w:rsidR="004A15D6">
        <w:t>, 2015</w:t>
      </w:r>
      <w:r w:rsidR="004123AB">
        <w:t>)</w:t>
      </w:r>
      <w:r w:rsidRPr="00DF7E1B">
        <w:t>. It lies well inside the Pacific Plate, far from the nearest active circum‑Pacific subduction margins (Yap–Palau–Mariana trench–arc systems), which are thousands of kilometers to the west and northwest; for example, straight‑line distance from Kosrae to Yap is on the order of ~2,780 km. This intraplate setting contributes to a low local seismic hazard on Kosrae, and regional catalogs show sparse instrumental activity in its vicinity compared with locations near the trenches. When felt shaking does occur, it is typically from distant regional events that have propagated across oceanic paths, or from teleseisms that may prompt marine advisories (e.g., the July 30, </w:t>
      </w:r>
      <w:proofErr w:type="gramStart"/>
      <w:r w:rsidRPr="00DF7E1B">
        <w:t>2025</w:t>
      </w:r>
      <w:proofErr w:type="gramEnd"/>
      <w:r w:rsidRPr="00DF7E1B">
        <w:t xml:space="preserve"> tsunami warning for all FSM states following a distant M 8.7 event). Overall, perceptible shaking on Kosrae is infrequent, and damaging ground motions are uncommon; nevertheless, routine preparedness remains prudent given the island’s broader location within the Ring of Fire and its reliance on coastal infrastructure.</w:t>
      </w:r>
    </w:p>
    <w:p w14:paraId="2FB04563" w14:textId="77777777" w:rsidR="00D33224" w:rsidRDefault="00D33224" w:rsidP="00AB4E2C">
      <w:pPr>
        <w:pStyle w:val="BodyText"/>
      </w:pPr>
    </w:p>
    <w:p w14:paraId="00B98B76" w14:textId="2716572B" w:rsidR="004836C2" w:rsidRDefault="004836C2" w:rsidP="004836C2">
      <w:pPr>
        <w:pStyle w:val="Head2"/>
      </w:pPr>
      <w:bookmarkStart w:id="84" w:name="_Toc228288439"/>
      <w:r w:rsidRPr="004836C2">
        <w:t>Island of Pohnpei</w:t>
      </w:r>
      <w:bookmarkEnd w:id="84"/>
    </w:p>
    <w:p w14:paraId="5776BA98" w14:textId="594FC259" w:rsidR="00E0730F" w:rsidRDefault="00E1575A" w:rsidP="00E1575A">
      <w:r>
        <w:t>Pohnpei, located near 6.9°N and 158.2°E, is the largest and wettest island in the Federated States of Micronesia, with a rugged volcanic interior rising above 750 meters</w:t>
      </w:r>
      <w:r w:rsidR="00E0730F">
        <w:t xml:space="preserve"> </w:t>
      </w:r>
      <w:r w:rsidR="00234140">
        <w:t xml:space="preserve">(Mink and others, 1992) </w:t>
      </w:r>
      <w:r w:rsidR="00E0730F">
        <w:t>(</w:t>
      </w:r>
      <w:r w:rsidR="00007CB0">
        <w:fldChar w:fldCharType="begin"/>
      </w:r>
      <w:r w:rsidR="00007CB0">
        <w:instrText xml:space="preserve"> REF _Ref226900062 \h </w:instrText>
      </w:r>
      <w:r w:rsidR="00007CB0">
        <w:fldChar w:fldCharType="separate"/>
      </w:r>
      <w:r w:rsidR="00244816" w:rsidRPr="00493F52">
        <w:rPr>
          <w:rFonts w:ascii="Arial Narrow" w:hAnsi="Arial Narrow"/>
        </w:rPr>
        <w:t xml:space="preserve">Figure </w:t>
      </w:r>
      <w:r w:rsidR="00244816">
        <w:rPr>
          <w:rFonts w:ascii="Arial Narrow" w:hAnsi="Arial Narrow"/>
          <w:noProof/>
        </w:rPr>
        <w:t>16</w:t>
      </w:r>
      <w:r w:rsidR="00007CB0">
        <w:fldChar w:fldCharType="end"/>
      </w:r>
      <w:r w:rsidR="00E0730F">
        <w:t>)</w:t>
      </w:r>
      <w:r>
        <w:t xml:space="preserve">. </w:t>
      </w:r>
    </w:p>
    <w:p w14:paraId="47A8AB49" w14:textId="77777777" w:rsidR="00F269F9" w:rsidRDefault="00495562" w:rsidP="00F269F9">
      <w:pPr>
        <w:rPr>
          <w:b/>
          <w:bCs/>
        </w:rPr>
      </w:pPr>
      <w:r>
        <w:rPr>
          <w:noProof/>
        </w:rPr>
        <w:drawing>
          <wp:inline distT="0" distB="0" distL="0" distR="0" wp14:anchorId="78AF5301" wp14:editId="6E92FEAC">
            <wp:extent cx="4515548" cy="4675632"/>
            <wp:effectExtent l="0" t="0" r="0" b="0"/>
            <wp:docPr id="146603191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6031918" name="Picture 3"/>
                    <pic:cNvPicPr/>
                  </pic:nvPicPr>
                  <pic:blipFill>
                    <a:blip r:embed="rId26"/>
                    <a:stretch>
                      <a:fillRect/>
                    </a:stretch>
                  </pic:blipFill>
                  <pic:spPr>
                    <a:xfrm>
                      <a:off x="0" y="0"/>
                      <a:ext cx="4515548" cy="4675632"/>
                    </a:xfrm>
                    <a:prstGeom prst="rect">
                      <a:avLst/>
                    </a:prstGeom>
                  </pic:spPr>
                </pic:pic>
              </a:graphicData>
            </a:graphic>
          </wp:inline>
        </w:drawing>
      </w:r>
    </w:p>
    <w:p w14:paraId="61E76EF3" w14:textId="3A5F01DE" w:rsidR="00493F52" w:rsidRDefault="00493F52" w:rsidP="00493F52">
      <w:pPr>
        <w:pStyle w:val="Caption"/>
        <w:rPr>
          <w:rFonts w:ascii="Arial Narrow" w:hAnsi="Arial Narrow"/>
        </w:rPr>
      </w:pPr>
      <w:bookmarkStart w:id="85" w:name="_Ref226900062"/>
      <w:bookmarkStart w:id="86" w:name="_Toc227410288"/>
      <w:r w:rsidRPr="00493F52">
        <w:rPr>
          <w:rFonts w:ascii="Arial Narrow" w:hAnsi="Arial Narrow"/>
        </w:rPr>
        <w:t xml:space="preserve">Figure </w:t>
      </w:r>
      <w:r w:rsidRPr="00493F52">
        <w:rPr>
          <w:rFonts w:ascii="Arial Narrow" w:hAnsi="Arial Narrow"/>
        </w:rPr>
        <w:fldChar w:fldCharType="begin"/>
      </w:r>
      <w:r w:rsidRPr="00493F52">
        <w:rPr>
          <w:rFonts w:ascii="Arial Narrow" w:hAnsi="Arial Narrow"/>
        </w:rPr>
        <w:instrText xml:space="preserve"> SEQ Figure \* ARABIC </w:instrText>
      </w:r>
      <w:r w:rsidRPr="00493F52">
        <w:rPr>
          <w:rFonts w:ascii="Arial Narrow" w:hAnsi="Arial Narrow"/>
        </w:rPr>
        <w:fldChar w:fldCharType="separate"/>
      </w:r>
      <w:r w:rsidR="00244816">
        <w:rPr>
          <w:rFonts w:ascii="Arial Narrow" w:hAnsi="Arial Narrow"/>
          <w:noProof/>
        </w:rPr>
        <w:t>16</w:t>
      </w:r>
      <w:r w:rsidRPr="00493F52">
        <w:rPr>
          <w:rFonts w:ascii="Arial Narrow" w:hAnsi="Arial Narrow"/>
        </w:rPr>
        <w:fldChar w:fldCharType="end"/>
      </w:r>
      <w:bookmarkEnd w:id="85"/>
      <w:r w:rsidRPr="00493F52">
        <w:rPr>
          <w:rFonts w:ascii="Arial Narrow" w:hAnsi="Arial Narrow"/>
        </w:rPr>
        <w:t>. Map of Pohnpei. The Geographic Coordinate System is WGS84. Sources: Esri, TomTom, FAO, NOAA, USGS.</w:t>
      </w:r>
      <w:bookmarkEnd w:id="86"/>
    </w:p>
    <w:p w14:paraId="06044A7A" w14:textId="1FCD080F" w:rsidR="00495562" w:rsidRDefault="00495562" w:rsidP="00493F52">
      <w:pPr>
        <w:pStyle w:val="Caption"/>
        <w:ind w:firstLine="720"/>
        <w:rPr>
          <w:rFonts w:ascii="Arial Narrow" w:hAnsi="Arial Narrow"/>
        </w:rPr>
      </w:pPr>
      <w:r w:rsidRPr="00493F52">
        <w:rPr>
          <w:rFonts w:ascii="Arial Narrow" w:hAnsi="Arial Narrow"/>
        </w:rPr>
        <w:t xml:space="preserve">Alt text: A </w:t>
      </w:r>
      <w:r w:rsidR="00C62AFB">
        <w:rPr>
          <w:rFonts w:ascii="Arial Narrow" w:hAnsi="Arial Narrow"/>
        </w:rPr>
        <w:t xml:space="preserve">simplified topographic </w:t>
      </w:r>
      <w:r w:rsidRPr="00493F52">
        <w:rPr>
          <w:rFonts w:ascii="Arial Narrow" w:hAnsi="Arial Narrow"/>
        </w:rPr>
        <w:t xml:space="preserve">map showing the island </w:t>
      </w:r>
      <w:r w:rsidR="00C62AFB">
        <w:rPr>
          <w:rFonts w:ascii="Arial Narrow" w:hAnsi="Arial Narrow"/>
        </w:rPr>
        <w:t xml:space="preserve">of </w:t>
      </w:r>
      <w:r w:rsidRPr="00493F52">
        <w:rPr>
          <w:rFonts w:ascii="Arial Narrow" w:hAnsi="Arial Narrow"/>
        </w:rPr>
        <w:t>Pohnpei. The map uses the WGS84 geographic coordinate system and includes data sources from Esri, TomTom, FAO, NOAA, and USGS.</w:t>
      </w:r>
    </w:p>
    <w:p w14:paraId="4D684D58" w14:textId="77777777" w:rsidR="00C62AFB" w:rsidRPr="00C62AFB" w:rsidRDefault="00C62AFB" w:rsidP="00AB4E2C"/>
    <w:p w14:paraId="3CB497FC" w14:textId="0879F8E7" w:rsidR="00E1575A" w:rsidRDefault="00E1575A" w:rsidP="0085180A">
      <w:pPr>
        <w:ind w:firstLine="720"/>
      </w:pPr>
      <w:r>
        <w:t xml:space="preserve">Its steep watersheds, cloud forests, and extensive river networks generate abundant surface water, making Pohnpei one of the region’s most hydrologically productive islands. Despite high rainfall, water availability varies seasonally, and communities rely heavily on surface‑water intakes that can be affected by turbidity during storms. The island’s population is concentrated along the coastal plain surrounding </w:t>
      </w:r>
      <w:proofErr w:type="spellStart"/>
      <w:r>
        <w:t>Kolonia</w:t>
      </w:r>
      <w:proofErr w:type="spellEnd"/>
      <w:r>
        <w:t xml:space="preserve"> and neighboring municipalities, where groundwater is used to supplement surface sources. Tectonically, Pohnpei rests on the Caroline Plate and experiences low to moderate seismicity from interactions with the nearby Pacific Plate. These tectonic forces, combined with intense rainfall, contribute to slope instability, erosion, and sedimentation that influence water quality and watershed management.</w:t>
      </w:r>
    </w:p>
    <w:p w14:paraId="6927D188" w14:textId="77777777" w:rsidR="004836C2" w:rsidRDefault="004836C2" w:rsidP="004836C2">
      <w:pPr>
        <w:pStyle w:val="Head3"/>
      </w:pPr>
      <w:bookmarkStart w:id="87" w:name="_Toc228288440"/>
      <w:r w:rsidRPr="009D558C">
        <w:t>Precipitation</w:t>
      </w:r>
      <w:bookmarkEnd w:id="87"/>
    </w:p>
    <w:p w14:paraId="5D1CB551" w14:textId="51933736" w:rsidR="00514E6F" w:rsidRDefault="00D11110" w:rsidP="0098480B">
      <w:pPr>
        <w:pStyle w:val="BodyText"/>
      </w:pPr>
      <w:r w:rsidRPr="00D11110">
        <w:t>Pohnpei has a humid, high</w:t>
      </w:r>
      <w:r w:rsidR="059F43B0">
        <w:t xml:space="preserve"> </w:t>
      </w:r>
      <w:r w:rsidRPr="00D11110">
        <w:t xml:space="preserve">precipitation tropical climate dominated by orographic rainfall generated by its rugged volcanic interior with wet conditions throughout the year but still susceptible to short drought periods. </w:t>
      </w:r>
      <w:r w:rsidR="00027090">
        <w:t>T</w:t>
      </w:r>
      <w:r w:rsidRPr="00D11110">
        <w:t xml:space="preserve">he </w:t>
      </w:r>
      <w:r w:rsidR="00041C4F">
        <w:t>mean</w:t>
      </w:r>
      <w:r w:rsidRPr="00D11110">
        <w:t xml:space="preserve"> annual total precipitation is 3,104 mm/yr, the mean monthly precipitation is 259 mm, and the </w:t>
      </w:r>
      <w:r w:rsidR="002248F3">
        <w:t>mean</w:t>
      </w:r>
      <w:r w:rsidRPr="00D11110">
        <w:t xml:space="preserve"> of each year’s minimum and maximum monthly precipitation </w:t>
      </w:r>
      <w:r w:rsidR="0098480B">
        <w:t>are</w:t>
      </w:r>
      <w:r w:rsidRPr="00D11110">
        <w:t xml:space="preserve"> 96 mm and 420 mm, respectively (</w:t>
      </w:r>
      <w:r w:rsidR="00514E6F">
        <w:fldChar w:fldCharType="begin"/>
      </w:r>
      <w:r w:rsidR="00514E6F">
        <w:instrText xml:space="preserve"> REF _Ref226900356 \h </w:instrText>
      </w:r>
      <w:r w:rsidR="00514E6F">
        <w:fldChar w:fldCharType="separate"/>
      </w:r>
      <w:r w:rsidR="00244816" w:rsidRPr="00514E6F">
        <w:rPr>
          <w:rFonts w:ascii="Arial Narrow" w:hAnsi="Arial Narrow"/>
        </w:rPr>
        <w:t xml:space="preserve">Table </w:t>
      </w:r>
      <w:r w:rsidR="00244816">
        <w:rPr>
          <w:rFonts w:ascii="Arial Narrow" w:hAnsi="Arial Narrow"/>
          <w:noProof/>
        </w:rPr>
        <w:t>5</w:t>
      </w:r>
      <w:r w:rsidR="00514E6F">
        <w:fldChar w:fldCharType="end"/>
      </w:r>
      <w:r w:rsidRPr="00D11110">
        <w:t xml:space="preserve">). </w:t>
      </w:r>
      <w:bookmarkStart w:id="88" w:name="_Ref226900311"/>
      <w:bookmarkStart w:id="89" w:name="_Ref226900324"/>
    </w:p>
    <w:p w14:paraId="103C8F09" w14:textId="77777777" w:rsidR="00C22BEE" w:rsidRDefault="00C22BEE" w:rsidP="00514E6F">
      <w:pPr>
        <w:pStyle w:val="Caption"/>
        <w:rPr>
          <w:rFonts w:ascii="Arial Narrow" w:hAnsi="Arial Narrow"/>
        </w:rPr>
      </w:pPr>
    </w:p>
    <w:p w14:paraId="15B23F6D" w14:textId="22BC7B67" w:rsidR="00324B03" w:rsidRPr="00514E6F" w:rsidRDefault="00514E6F" w:rsidP="00514E6F">
      <w:pPr>
        <w:pStyle w:val="Caption"/>
        <w:rPr>
          <w:rFonts w:ascii="Arial Narrow" w:hAnsi="Arial Narrow"/>
        </w:rPr>
      </w:pPr>
      <w:bookmarkStart w:id="90" w:name="_Ref226900356"/>
      <w:bookmarkStart w:id="91" w:name="_Toc228288465"/>
      <w:bookmarkEnd w:id="88"/>
      <w:bookmarkEnd w:id="89"/>
      <w:r w:rsidRPr="00514E6F">
        <w:rPr>
          <w:rFonts w:ascii="Arial Narrow" w:hAnsi="Arial Narrow"/>
        </w:rPr>
        <w:t xml:space="preserve">Table </w:t>
      </w:r>
      <w:r w:rsidR="00F1468A">
        <w:rPr>
          <w:rFonts w:ascii="Arial Narrow" w:hAnsi="Arial Narrow"/>
        </w:rPr>
        <w:fldChar w:fldCharType="begin"/>
      </w:r>
      <w:r w:rsidR="00F1468A">
        <w:rPr>
          <w:rFonts w:ascii="Arial Narrow" w:hAnsi="Arial Narrow"/>
        </w:rPr>
        <w:instrText xml:space="preserve"> SEQ Table \* ARABIC </w:instrText>
      </w:r>
      <w:r w:rsidR="00F1468A">
        <w:rPr>
          <w:rFonts w:ascii="Arial Narrow" w:hAnsi="Arial Narrow"/>
        </w:rPr>
        <w:fldChar w:fldCharType="separate"/>
      </w:r>
      <w:r w:rsidR="00244816">
        <w:rPr>
          <w:rFonts w:ascii="Arial Narrow" w:hAnsi="Arial Narrow"/>
          <w:noProof/>
        </w:rPr>
        <w:t>5</w:t>
      </w:r>
      <w:r w:rsidR="00F1468A">
        <w:rPr>
          <w:rFonts w:ascii="Arial Narrow" w:hAnsi="Arial Narrow"/>
        </w:rPr>
        <w:fldChar w:fldCharType="end"/>
      </w:r>
      <w:bookmarkEnd w:id="90"/>
      <w:r w:rsidRPr="00514E6F">
        <w:rPr>
          <w:rFonts w:ascii="Arial Narrow" w:hAnsi="Arial Narrow"/>
        </w:rPr>
        <w:t xml:space="preserve">. </w:t>
      </w:r>
      <w:r w:rsidR="007B7EBF">
        <w:rPr>
          <w:rFonts w:ascii="Arial Narrow" w:hAnsi="Arial Narrow"/>
        </w:rPr>
        <w:t>Mean</w:t>
      </w:r>
      <w:r w:rsidRPr="00514E6F">
        <w:rPr>
          <w:rFonts w:ascii="Arial Narrow" w:hAnsi="Arial Narrow"/>
        </w:rPr>
        <w:t xml:space="preserve"> IMERG Precipitation Statistics (1998–2024) for Pohnpei</w:t>
      </w:r>
      <w:bookmarkEnd w:id="91"/>
    </w:p>
    <w:tbl>
      <w:tblPr>
        <w:tblStyle w:val="TableGrid"/>
        <w:tblW w:w="0" w:type="auto"/>
        <w:tblLook w:val="04A0" w:firstRow="1" w:lastRow="0" w:firstColumn="1" w:lastColumn="0" w:noHBand="0" w:noVBand="1"/>
      </w:tblPr>
      <w:tblGrid>
        <w:gridCol w:w="3955"/>
        <w:gridCol w:w="3595"/>
      </w:tblGrid>
      <w:tr w:rsidR="00787592" w:rsidRPr="00937742" w14:paraId="4405EF6F" w14:textId="77777777">
        <w:tc>
          <w:tcPr>
            <w:tcW w:w="3955" w:type="dxa"/>
          </w:tcPr>
          <w:p w14:paraId="4DF240FA" w14:textId="77777777" w:rsidR="00787592" w:rsidRPr="0070522D" w:rsidRDefault="00787592">
            <w:pPr>
              <w:pStyle w:val="BodyText"/>
              <w:ind w:firstLine="0"/>
              <w:rPr>
                <w:rFonts w:ascii="Arial Narrow" w:hAnsi="Arial Narrow"/>
                <w:b/>
                <w:bCs/>
              </w:rPr>
            </w:pPr>
            <w:r w:rsidRPr="0070522D">
              <w:rPr>
                <w:rFonts w:ascii="Arial Narrow" w:hAnsi="Arial Narrow"/>
                <w:b/>
                <w:bCs/>
              </w:rPr>
              <w:t>Statistic</w:t>
            </w:r>
          </w:p>
        </w:tc>
        <w:tc>
          <w:tcPr>
            <w:tcW w:w="3595" w:type="dxa"/>
          </w:tcPr>
          <w:p w14:paraId="61B3A676" w14:textId="619FD20C" w:rsidR="00787592" w:rsidRPr="0070522D" w:rsidRDefault="00787592">
            <w:pPr>
              <w:pStyle w:val="BodyText"/>
              <w:ind w:firstLine="0"/>
              <w:rPr>
                <w:rFonts w:ascii="Arial Narrow" w:hAnsi="Arial Narrow"/>
                <w:b/>
                <w:bCs/>
              </w:rPr>
            </w:pPr>
            <w:r>
              <w:rPr>
                <w:rFonts w:ascii="Arial Narrow" w:hAnsi="Arial Narrow"/>
                <w:b/>
                <w:bCs/>
              </w:rPr>
              <w:t>P</w:t>
            </w:r>
            <w:r w:rsidRPr="0070522D">
              <w:rPr>
                <w:rFonts w:ascii="Arial Narrow" w:hAnsi="Arial Narrow"/>
                <w:b/>
                <w:bCs/>
              </w:rPr>
              <w:t>recipitation</w:t>
            </w:r>
            <w:r w:rsidR="00DA13CD">
              <w:rPr>
                <w:rFonts w:ascii="Arial Narrow" w:hAnsi="Arial Narrow"/>
                <w:b/>
                <w:bCs/>
              </w:rPr>
              <w:t xml:space="preserve"> (mm)</w:t>
            </w:r>
          </w:p>
        </w:tc>
      </w:tr>
      <w:tr w:rsidR="00787592" w:rsidRPr="00937742" w14:paraId="6D96380C" w14:textId="77777777">
        <w:tc>
          <w:tcPr>
            <w:tcW w:w="3955" w:type="dxa"/>
          </w:tcPr>
          <w:p w14:paraId="32BF44C0" w14:textId="7A745443" w:rsidR="00787592" w:rsidRPr="0070522D" w:rsidRDefault="00787592">
            <w:pPr>
              <w:pStyle w:val="BodyText"/>
              <w:ind w:firstLine="0"/>
              <w:rPr>
                <w:rFonts w:ascii="Arial Narrow" w:hAnsi="Arial Narrow"/>
              </w:rPr>
            </w:pPr>
            <w:r>
              <w:rPr>
                <w:rFonts w:ascii="Arial Narrow" w:hAnsi="Arial Narrow"/>
              </w:rPr>
              <w:t>Mean</w:t>
            </w:r>
            <w:r w:rsidRPr="00937742">
              <w:rPr>
                <w:rFonts w:ascii="Arial Narrow" w:hAnsi="Arial Narrow"/>
              </w:rPr>
              <w:t xml:space="preserve"> annual</w:t>
            </w:r>
          </w:p>
        </w:tc>
        <w:tc>
          <w:tcPr>
            <w:tcW w:w="3595" w:type="dxa"/>
          </w:tcPr>
          <w:p w14:paraId="6EBD41E7" w14:textId="4286C850" w:rsidR="00787592" w:rsidRPr="0070522D" w:rsidRDefault="00787592">
            <w:pPr>
              <w:pStyle w:val="BodyText"/>
              <w:ind w:firstLine="0"/>
              <w:rPr>
                <w:rFonts w:ascii="Arial Narrow" w:hAnsi="Arial Narrow"/>
              </w:rPr>
            </w:pPr>
            <w:r>
              <w:rPr>
                <w:rFonts w:ascii="Arial Narrow" w:hAnsi="Arial Narrow"/>
              </w:rPr>
              <w:t>3104</w:t>
            </w:r>
          </w:p>
        </w:tc>
      </w:tr>
      <w:tr w:rsidR="00787592" w:rsidRPr="00937742" w14:paraId="5C30768B" w14:textId="77777777">
        <w:tc>
          <w:tcPr>
            <w:tcW w:w="3955" w:type="dxa"/>
          </w:tcPr>
          <w:p w14:paraId="36F10B63" w14:textId="10480867" w:rsidR="00787592" w:rsidRPr="0070522D" w:rsidRDefault="00DA13CD">
            <w:pPr>
              <w:pStyle w:val="BodyText"/>
              <w:ind w:firstLine="0"/>
              <w:rPr>
                <w:rFonts w:ascii="Arial Narrow" w:hAnsi="Arial Narrow"/>
              </w:rPr>
            </w:pPr>
            <w:r>
              <w:rPr>
                <w:rFonts w:ascii="Arial Narrow" w:hAnsi="Arial Narrow"/>
              </w:rPr>
              <w:t>M</w:t>
            </w:r>
            <w:r w:rsidRPr="00937742">
              <w:rPr>
                <w:rFonts w:ascii="Arial Narrow" w:hAnsi="Arial Narrow"/>
              </w:rPr>
              <w:t>ean</w:t>
            </w:r>
            <w:r w:rsidR="00787592" w:rsidRPr="00937742">
              <w:rPr>
                <w:rFonts w:ascii="Arial Narrow" w:hAnsi="Arial Narrow"/>
              </w:rPr>
              <w:t xml:space="preserve"> monthly</w:t>
            </w:r>
            <w:r>
              <w:rPr>
                <w:rFonts w:ascii="Arial Narrow" w:hAnsi="Arial Narrow"/>
              </w:rPr>
              <w:t xml:space="preserve"> mean</w:t>
            </w:r>
          </w:p>
        </w:tc>
        <w:tc>
          <w:tcPr>
            <w:tcW w:w="3595" w:type="dxa"/>
          </w:tcPr>
          <w:p w14:paraId="584EA583" w14:textId="13F1C5BB" w:rsidR="00787592" w:rsidRPr="0070522D" w:rsidRDefault="00787592">
            <w:pPr>
              <w:pStyle w:val="BodyText"/>
              <w:ind w:firstLine="0"/>
              <w:rPr>
                <w:rFonts w:ascii="Arial Narrow" w:hAnsi="Arial Narrow"/>
              </w:rPr>
            </w:pPr>
            <w:r>
              <w:rPr>
                <w:rFonts w:ascii="Arial Narrow" w:hAnsi="Arial Narrow"/>
              </w:rPr>
              <w:t>25</w:t>
            </w:r>
            <w:r w:rsidRPr="00937742">
              <w:rPr>
                <w:rFonts w:ascii="Arial Narrow" w:hAnsi="Arial Narrow"/>
              </w:rPr>
              <w:t>9</w:t>
            </w:r>
          </w:p>
        </w:tc>
      </w:tr>
      <w:tr w:rsidR="00787592" w:rsidRPr="00937742" w14:paraId="3BBD951F" w14:textId="77777777">
        <w:tc>
          <w:tcPr>
            <w:tcW w:w="3955" w:type="dxa"/>
          </w:tcPr>
          <w:p w14:paraId="4A40982C" w14:textId="11739326" w:rsidR="00787592" w:rsidRPr="0070522D" w:rsidRDefault="00DA13CD">
            <w:pPr>
              <w:pStyle w:val="BodyText"/>
              <w:ind w:firstLine="0"/>
              <w:rPr>
                <w:rFonts w:ascii="Arial Narrow" w:hAnsi="Arial Narrow"/>
              </w:rPr>
            </w:pPr>
            <w:r>
              <w:rPr>
                <w:rFonts w:ascii="Arial Narrow" w:hAnsi="Arial Narrow"/>
              </w:rPr>
              <w:t xml:space="preserve">Mean </w:t>
            </w:r>
            <w:r w:rsidRPr="00937742">
              <w:rPr>
                <w:rFonts w:ascii="Arial Narrow" w:hAnsi="Arial Narrow"/>
              </w:rPr>
              <w:t>monthly</w:t>
            </w:r>
            <w:r>
              <w:rPr>
                <w:rFonts w:ascii="Arial Narrow" w:hAnsi="Arial Narrow"/>
              </w:rPr>
              <w:t xml:space="preserve"> minimum</w:t>
            </w:r>
          </w:p>
        </w:tc>
        <w:tc>
          <w:tcPr>
            <w:tcW w:w="3595" w:type="dxa"/>
          </w:tcPr>
          <w:p w14:paraId="2B1ABC7B" w14:textId="3A775DB2" w:rsidR="00787592" w:rsidRPr="0070522D" w:rsidRDefault="00787592">
            <w:pPr>
              <w:pStyle w:val="BodyText"/>
              <w:ind w:firstLine="0"/>
              <w:rPr>
                <w:rFonts w:ascii="Arial Narrow" w:hAnsi="Arial Narrow"/>
              </w:rPr>
            </w:pPr>
            <w:r>
              <w:rPr>
                <w:rFonts w:ascii="Arial Narrow" w:hAnsi="Arial Narrow"/>
              </w:rPr>
              <w:t>96</w:t>
            </w:r>
          </w:p>
        </w:tc>
      </w:tr>
      <w:tr w:rsidR="00787592" w:rsidRPr="00937742" w14:paraId="69BE53EA" w14:textId="77777777">
        <w:tc>
          <w:tcPr>
            <w:tcW w:w="3955" w:type="dxa"/>
          </w:tcPr>
          <w:p w14:paraId="730EA950" w14:textId="619945DA" w:rsidR="00787592" w:rsidRPr="0070522D" w:rsidRDefault="00DA13CD">
            <w:pPr>
              <w:pStyle w:val="BodyText"/>
              <w:ind w:firstLine="0"/>
              <w:rPr>
                <w:rFonts w:ascii="Arial Narrow" w:hAnsi="Arial Narrow"/>
              </w:rPr>
            </w:pPr>
            <w:r>
              <w:rPr>
                <w:rFonts w:ascii="Arial Narrow" w:hAnsi="Arial Narrow"/>
              </w:rPr>
              <w:t xml:space="preserve">Mean </w:t>
            </w:r>
            <w:r w:rsidRPr="00937742">
              <w:rPr>
                <w:rFonts w:ascii="Arial Narrow" w:hAnsi="Arial Narrow"/>
              </w:rPr>
              <w:t>monthly</w:t>
            </w:r>
            <w:r>
              <w:rPr>
                <w:rFonts w:ascii="Arial Narrow" w:hAnsi="Arial Narrow"/>
              </w:rPr>
              <w:t xml:space="preserve"> maximum</w:t>
            </w:r>
          </w:p>
        </w:tc>
        <w:tc>
          <w:tcPr>
            <w:tcW w:w="3595" w:type="dxa"/>
          </w:tcPr>
          <w:p w14:paraId="14826737" w14:textId="50FAADFD" w:rsidR="00787592" w:rsidRPr="0070522D" w:rsidRDefault="00787592">
            <w:pPr>
              <w:pStyle w:val="BodyText"/>
              <w:ind w:firstLine="0"/>
              <w:rPr>
                <w:rFonts w:ascii="Arial Narrow" w:hAnsi="Arial Narrow"/>
              </w:rPr>
            </w:pPr>
            <w:r>
              <w:rPr>
                <w:rFonts w:ascii="Arial Narrow" w:hAnsi="Arial Narrow"/>
              </w:rPr>
              <w:t>4</w:t>
            </w:r>
            <w:r w:rsidRPr="00937742">
              <w:rPr>
                <w:rFonts w:ascii="Arial Narrow" w:hAnsi="Arial Narrow"/>
              </w:rPr>
              <w:t>20</w:t>
            </w:r>
          </w:p>
        </w:tc>
      </w:tr>
    </w:tbl>
    <w:p w14:paraId="26268C48" w14:textId="77777777" w:rsidR="00787592" w:rsidRPr="00D11110" w:rsidRDefault="00787592" w:rsidP="00D92F12">
      <w:pPr>
        <w:pStyle w:val="BodyText"/>
      </w:pPr>
    </w:p>
    <w:p w14:paraId="4D718315" w14:textId="788BDD6D" w:rsidR="00D11110" w:rsidRPr="00D11110" w:rsidRDefault="00D11110" w:rsidP="00D11110">
      <w:pPr>
        <w:pStyle w:val="BodyText"/>
      </w:pPr>
      <w:r w:rsidRPr="00D11110">
        <w:t xml:space="preserve">Pohnpei receives substantial precipitation throughout the year, with monthly totals commonly ranging from </w:t>
      </w:r>
      <w:r w:rsidR="0098480B">
        <w:t xml:space="preserve">about </w:t>
      </w:r>
      <w:r w:rsidRPr="00D11110">
        <w:t>200 to 450 mm, reflecting the island’s persistently wet tropical climate</w:t>
      </w:r>
      <w:r w:rsidR="00DE13B4" w:rsidRPr="0098480B">
        <w:t xml:space="preserve"> (</w:t>
      </w:r>
      <w:r w:rsidR="0098480B">
        <w:fldChar w:fldCharType="begin"/>
      </w:r>
      <w:r w:rsidR="0098480B">
        <w:instrText xml:space="preserve"> REF _Ref226900517 \h </w:instrText>
      </w:r>
      <w:r w:rsidR="0098480B">
        <w:fldChar w:fldCharType="separate"/>
      </w:r>
      <w:r w:rsidR="00244816" w:rsidRPr="0098480B">
        <w:rPr>
          <w:rFonts w:ascii="Arial Narrow" w:hAnsi="Arial Narrow"/>
        </w:rPr>
        <w:t xml:space="preserve">Figure </w:t>
      </w:r>
      <w:r w:rsidR="00244816">
        <w:rPr>
          <w:rFonts w:ascii="Arial Narrow" w:hAnsi="Arial Narrow"/>
          <w:noProof/>
        </w:rPr>
        <w:t>17</w:t>
      </w:r>
      <w:r w:rsidR="0098480B">
        <w:fldChar w:fldCharType="end"/>
      </w:r>
      <w:r w:rsidR="00DE13B4" w:rsidRPr="0098480B">
        <w:t>)</w:t>
      </w:r>
      <w:r w:rsidRPr="00D11110">
        <w:t xml:space="preserve">. Several months exceed 500 mm, including May 2015 (595 mm), July 2018 (565 mm), November 2020 (587 mm), and October 2022 (524 mm), and a rare extreme of &gt;700 mm occurred in July 1998 (757 mm). Conversely, occasional short dry spells linked to regional climate variability can occur; for example, March 1998 (1.25 mm) and April 1999 (2.68 mm) rank among the driest months. </w:t>
      </w:r>
    </w:p>
    <w:p w14:paraId="5A8696CA" w14:textId="7267D6F3" w:rsidR="00AB28C0" w:rsidRPr="00D11110" w:rsidRDefault="00FE1EEC" w:rsidP="00FE1EEC">
      <w:pPr>
        <w:pStyle w:val="BodyText"/>
        <w:ind w:firstLine="0"/>
      </w:pPr>
      <w:r>
        <w:rPr>
          <w:noProof/>
        </w:rPr>
        <w:drawing>
          <wp:inline distT="0" distB="0" distL="0" distR="0" wp14:anchorId="14AE1719" wp14:editId="7E675AA8">
            <wp:extent cx="5943600" cy="2934335"/>
            <wp:effectExtent l="0" t="0" r="0" b="0"/>
            <wp:docPr id="214993239" name="Chart 1">
              <a:extLst xmlns:a="http://schemas.openxmlformats.org/drawingml/2006/main">
                <a:ext uri="{FF2B5EF4-FFF2-40B4-BE49-F238E27FC236}">
                  <a16:creationId xmlns:a16="http://schemas.microsoft.com/office/drawing/2014/main" id="{2105E784-1F6D-46DB-871F-1E3689217282}"/>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p w14:paraId="1665113F" w14:textId="3628A048" w:rsidR="0098480B" w:rsidRPr="0098480B" w:rsidRDefault="0098480B" w:rsidP="0098480B">
      <w:pPr>
        <w:pStyle w:val="Caption"/>
        <w:rPr>
          <w:rFonts w:ascii="Arial Narrow" w:hAnsi="Arial Narrow"/>
        </w:rPr>
      </w:pPr>
      <w:bookmarkStart w:id="92" w:name="_Ref226900517"/>
      <w:bookmarkStart w:id="93" w:name="_Toc227410289"/>
      <w:r w:rsidRPr="0098480B">
        <w:rPr>
          <w:rFonts w:ascii="Arial Narrow" w:hAnsi="Arial Narrow"/>
        </w:rPr>
        <w:t xml:space="preserve">Figure </w:t>
      </w:r>
      <w:r w:rsidRPr="0098480B">
        <w:rPr>
          <w:rFonts w:ascii="Arial Narrow" w:hAnsi="Arial Narrow"/>
        </w:rPr>
        <w:fldChar w:fldCharType="begin"/>
      </w:r>
      <w:r w:rsidRPr="0098480B">
        <w:rPr>
          <w:rFonts w:ascii="Arial Narrow" w:hAnsi="Arial Narrow"/>
        </w:rPr>
        <w:instrText xml:space="preserve"> SEQ Figure \* ARABIC </w:instrText>
      </w:r>
      <w:r w:rsidRPr="0098480B">
        <w:rPr>
          <w:rFonts w:ascii="Arial Narrow" w:hAnsi="Arial Narrow"/>
        </w:rPr>
        <w:fldChar w:fldCharType="separate"/>
      </w:r>
      <w:r w:rsidR="00244816">
        <w:rPr>
          <w:rFonts w:ascii="Arial Narrow" w:hAnsi="Arial Narrow"/>
          <w:noProof/>
        </w:rPr>
        <w:t>17</w:t>
      </w:r>
      <w:r w:rsidRPr="0098480B">
        <w:rPr>
          <w:rFonts w:ascii="Arial Narrow" w:hAnsi="Arial Narrow"/>
        </w:rPr>
        <w:fldChar w:fldCharType="end"/>
      </w:r>
      <w:bookmarkEnd w:id="92"/>
      <w:r w:rsidRPr="0098480B">
        <w:rPr>
          <w:rFonts w:ascii="Arial Narrow" w:hAnsi="Arial Narrow"/>
        </w:rPr>
        <w:t>. Monthly precipitation for years 1998 - 2025 in mm.</w:t>
      </w:r>
      <w:bookmarkEnd w:id="93"/>
    </w:p>
    <w:p w14:paraId="6505A221" w14:textId="469D2A1A" w:rsidR="0098480B" w:rsidRPr="009F43CC" w:rsidRDefault="0098480B" w:rsidP="0098480B">
      <w:pPr>
        <w:pStyle w:val="Caption"/>
        <w:rPr>
          <w:rFonts w:ascii="Arial Narrow" w:hAnsi="Arial Narrow"/>
        </w:rPr>
      </w:pPr>
      <w:r>
        <w:rPr>
          <w:rFonts w:ascii="Arial Narrow" w:hAnsi="Arial Narrow"/>
        </w:rPr>
        <w:tab/>
        <w:t>Alt. text. Line graph showing the m</w:t>
      </w:r>
      <w:r w:rsidRPr="009F43CC">
        <w:rPr>
          <w:rFonts w:ascii="Arial Narrow" w:hAnsi="Arial Narrow"/>
        </w:rPr>
        <w:t>onthly precipitation for years 1998 - 2025 in mm.</w:t>
      </w:r>
    </w:p>
    <w:p w14:paraId="335DC6B9" w14:textId="77777777" w:rsidR="00E82F87" w:rsidRDefault="00E82F87" w:rsidP="00E82F87">
      <w:pPr>
        <w:pStyle w:val="BodyText"/>
      </w:pPr>
    </w:p>
    <w:p w14:paraId="6B869FE2" w14:textId="78851724" w:rsidR="00FE1EEC" w:rsidRDefault="00D11110" w:rsidP="00F76E93">
      <w:pPr>
        <w:pStyle w:val="BodyText"/>
        <w:rPr>
          <w:noProof/>
        </w:rPr>
      </w:pPr>
      <w:r w:rsidRPr="00D11110">
        <w:t>Annual precipitation totals varied substantially across the period of record</w:t>
      </w:r>
      <w:r w:rsidR="009836B5">
        <w:t xml:space="preserve"> (</w:t>
      </w:r>
      <w:r w:rsidR="00BD1699">
        <w:fldChar w:fldCharType="begin"/>
      </w:r>
      <w:r w:rsidR="00BD1699">
        <w:instrText xml:space="preserve"> REF _Ref226900712 \h </w:instrText>
      </w:r>
      <w:r w:rsidR="00BD1699">
        <w:fldChar w:fldCharType="separate"/>
      </w:r>
      <w:r w:rsidR="00244816" w:rsidRPr="009836B5">
        <w:rPr>
          <w:rFonts w:ascii="Arial Narrow" w:hAnsi="Arial Narrow"/>
        </w:rPr>
        <w:t xml:space="preserve">Figure </w:t>
      </w:r>
      <w:r w:rsidR="00244816">
        <w:rPr>
          <w:rFonts w:ascii="Arial Narrow" w:hAnsi="Arial Narrow"/>
          <w:noProof/>
        </w:rPr>
        <w:t>18</w:t>
      </w:r>
      <w:r w:rsidR="00BD1699">
        <w:fldChar w:fldCharType="end"/>
      </w:r>
      <w:r w:rsidR="009836B5">
        <w:t>)</w:t>
      </w:r>
      <w:r w:rsidRPr="00D11110">
        <w:t>. The highest annual value occurred in 2022 (4,405 mm), with several other notably wet years including 2018 (4,361 mm), 2019 (3,754 mm), 2021 (3,848 mm), and 2023 (</w:t>
      </w:r>
      <w:r w:rsidR="00BD1699">
        <w:t>3</w:t>
      </w:r>
      <w:r w:rsidRPr="00D11110">
        <w:t>,865 mm), whereas the lowest annual total was recorded in 1998</w:t>
      </w:r>
      <w:r w:rsidR="00F76E93">
        <w:t xml:space="preserve">. </w:t>
      </w:r>
      <w:r w:rsidR="00F76E93" w:rsidRPr="00D11110">
        <w:t xml:space="preserve">The last five years (2020–2024) average 3,892 mm/yr, which is ~25% wetter than the </w:t>
      </w:r>
      <w:r w:rsidR="4270380D" w:rsidRPr="00D11110">
        <w:t>long</w:t>
      </w:r>
      <w:r w:rsidR="00FE1EEC">
        <w:t xml:space="preserve"> </w:t>
      </w:r>
      <w:r w:rsidR="4270380D" w:rsidRPr="00D11110">
        <w:t>term</w:t>
      </w:r>
      <w:r w:rsidR="4270380D" w:rsidRPr="00D11110">
        <w:noBreakHyphen/>
      </w:r>
      <w:r w:rsidR="00F76E93" w:rsidRPr="00D11110">
        <w:t xml:space="preserve"> mean of 3,104 mm/yr, underscoring recent multi</w:t>
      </w:r>
      <w:r w:rsidR="00F76E93" w:rsidRPr="00D11110">
        <w:noBreakHyphen/>
        <w:t xml:space="preserve">year wet conditions. </w:t>
      </w:r>
    </w:p>
    <w:p w14:paraId="26F8BE47" w14:textId="5D5FA4CB" w:rsidR="00D11110" w:rsidRPr="00D11110" w:rsidRDefault="001C1910" w:rsidP="00F76E93">
      <w:pPr>
        <w:pStyle w:val="BodyText"/>
      </w:pPr>
      <w:r>
        <w:rPr>
          <w:noProof/>
        </w:rPr>
        <w:drawing>
          <wp:inline distT="0" distB="0" distL="0" distR="0" wp14:anchorId="3941DD1C" wp14:editId="4D3EB296">
            <wp:extent cx="5943600" cy="2945081"/>
            <wp:effectExtent l="0" t="0" r="0" b="8255"/>
            <wp:docPr id="75756392" name="Chart 1">
              <a:extLst xmlns:a="http://schemas.openxmlformats.org/drawingml/2006/main">
                <a:ext uri="{FF2B5EF4-FFF2-40B4-BE49-F238E27FC236}">
                  <a16:creationId xmlns:a16="http://schemas.microsoft.com/office/drawing/2014/main" id="{BC884329-44C9-4EB6-87C9-A1A6A9C7B371}"/>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r w:rsidR="00D11110" w:rsidRPr="00D11110">
        <w:t xml:space="preserve"> </w:t>
      </w:r>
    </w:p>
    <w:p w14:paraId="7B3EE119" w14:textId="014396BC" w:rsidR="009836B5" w:rsidRPr="009836B5" w:rsidRDefault="009836B5" w:rsidP="009836B5">
      <w:pPr>
        <w:pStyle w:val="Caption"/>
        <w:rPr>
          <w:rFonts w:ascii="Arial Narrow" w:hAnsi="Arial Narrow"/>
        </w:rPr>
      </w:pPr>
      <w:bookmarkStart w:id="94" w:name="_Ref226900712"/>
      <w:bookmarkStart w:id="95" w:name="_Toc227410290"/>
      <w:r w:rsidRPr="009836B5">
        <w:rPr>
          <w:rFonts w:ascii="Arial Narrow" w:hAnsi="Arial Narrow"/>
        </w:rPr>
        <w:t xml:space="preserve">Figure </w:t>
      </w:r>
      <w:r w:rsidRPr="009836B5">
        <w:rPr>
          <w:rFonts w:ascii="Arial Narrow" w:hAnsi="Arial Narrow"/>
        </w:rPr>
        <w:fldChar w:fldCharType="begin"/>
      </w:r>
      <w:r w:rsidRPr="009836B5">
        <w:rPr>
          <w:rFonts w:ascii="Arial Narrow" w:hAnsi="Arial Narrow"/>
        </w:rPr>
        <w:instrText xml:space="preserve"> SEQ Figure \* ARABIC </w:instrText>
      </w:r>
      <w:r w:rsidRPr="009836B5">
        <w:rPr>
          <w:rFonts w:ascii="Arial Narrow" w:hAnsi="Arial Narrow"/>
        </w:rPr>
        <w:fldChar w:fldCharType="separate"/>
      </w:r>
      <w:r w:rsidR="00244816">
        <w:rPr>
          <w:rFonts w:ascii="Arial Narrow" w:hAnsi="Arial Narrow"/>
          <w:noProof/>
        </w:rPr>
        <w:t>18</w:t>
      </w:r>
      <w:r w:rsidRPr="009836B5">
        <w:rPr>
          <w:rFonts w:ascii="Arial Narrow" w:hAnsi="Arial Narrow"/>
        </w:rPr>
        <w:fldChar w:fldCharType="end"/>
      </w:r>
      <w:bookmarkEnd w:id="94"/>
      <w:r w:rsidRPr="009836B5">
        <w:rPr>
          <w:rFonts w:ascii="Arial Narrow" w:hAnsi="Arial Narrow"/>
        </w:rPr>
        <w:t>. Annual precipitation for years 1998 - 2024 in mm.</w:t>
      </w:r>
      <w:bookmarkEnd w:id="95"/>
    </w:p>
    <w:p w14:paraId="010A5DDB" w14:textId="5ADA1405" w:rsidR="009836B5" w:rsidRPr="009F43CC" w:rsidRDefault="009836B5" w:rsidP="009836B5">
      <w:pPr>
        <w:pStyle w:val="Caption"/>
        <w:rPr>
          <w:rFonts w:ascii="Arial Narrow" w:hAnsi="Arial Narrow"/>
        </w:rPr>
      </w:pPr>
      <w:r>
        <w:rPr>
          <w:rFonts w:ascii="Arial Narrow" w:hAnsi="Arial Narrow"/>
        </w:rPr>
        <w:tab/>
        <w:t>Alt. text. Bar chart showing annual precipitation for years 1998 to 2024 in mm.</w:t>
      </w:r>
    </w:p>
    <w:p w14:paraId="5D1BC36C" w14:textId="673E7E68" w:rsidR="00D11110" w:rsidRPr="00D11110" w:rsidRDefault="00D11110" w:rsidP="00D11110">
      <w:pPr>
        <w:pStyle w:val="BodyText"/>
      </w:pPr>
      <w:r>
        <w:t>From a water</w:t>
      </w:r>
      <w:r w:rsidR="2066E477">
        <w:t xml:space="preserve"> </w:t>
      </w:r>
      <w:r>
        <w:t>management standpoint, this pattern supports reliable surface</w:t>
      </w:r>
      <w:r w:rsidR="764F1005">
        <w:t xml:space="preserve"> </w:t>
      </w:r>
      <w:r>
        <w:t>water availability, but planning should still account for episodic dry months and storage/turbidity challenges during peak rain events.</w:t>
      </w:r>
    </w:p>
    <w:p w14:paraId="2B0679EE" w14:textId="77777777" w:rsidR="00D11110" w:rsidRPr="009D558C" w:rsidRDefault="00D11110" w:rsidP="00D11110">
      <w:pPr>
        <w:pStyle w:val="BodyText"/>
      </w:pPr>
    </w:p>
    <w:p w14:paraId="0C384461" w14:textId="77777777" w:rsidR="00405FBE" w:rsidRDefault="00405FBE" w:rsidP="00405FBE">
      <w:pPr>
        <w:pStyle w:val="BodyText"/>
      </w:pPr>
    </w:p>
    <w:p w14:paraId="379E39EE" w14:textId="2E123998" w:rsidR="004836C2" w:rsidRDefault="004836C2" w:rsidP="004836C2">
      <w:pPr>
        <w:pStyle w:val="Head3"/>
      </w:pPr>
      <w:bookmarkStart w:id="96" w:name="_Toc228288441"/>
      <w:r w:rsidRPr="009D558C">
        <w:t>Evapotranspiration</w:t>
      </w:r>
      <w:bookmarkEnd w:id="96"/>
    </w:p>
    <w:p w14:paraId="0EC06814" w14:textId="542F2356" w:rsidR="00726727" w:rsidRDefault="00726727" w:rsidP="00726727">
      <w:pPr>
        <w:pStyle w:val="BodyText"/>
      </w:pPr>
      <w:r>
        <w:t>Like Kosrae, Pohnpei exhibits an energy‑limited hydrologic regime, where abundant cloud cover, high humidity, and dense vegetation constrain the amount of energy available for atmospheric water loss. As a result, monthly actual ET remains relatively stable throughout the year, despite large seasonal swings in precipitation. ET values fall within a narrow band of 90–115 mm per month</w:t>
      </w:r>
      <w:r w:rsidR="007E78BE">
        <w:t xml:space="preserve"> (</w:t>
      </w:r>
      <w:r w:rsidR="003A568F">
        <w:fldChar w:fldCharType="begin"/>
      </w:r>
      <w:r w:rsidR="003A568F">
        <w:instrText xml:space="preserve"> REF _Ref226900984 \h </w:instrText>
      </w:r>
      <w:r w:rsidR="003A568F">
        <w:fldChar w:fldCharType="separate"/>
      </w:r>
      <w:r w:rsidR="00244816" w:rsidRPr="003A568F">
        <w:rPr>
          <w:rFonts w:ascii="Arial Narrow" w:hAnsi="Arial Narrow"/>
        </w:rPr>
        <w:t xml:space="preserve">Figure </w:t>
      </w:r>
      <w:r w:rsidR="00244816">
        <w:rPr>
          <w:rFonts w:ascii="Arial Narrow" w:hAnsi="Arial Narrow"/>
          <w:noProof/>
        </w:rPr>
        <w:t>19</w:t>
      </w:r>
      <w:r w:rsidR="003A568F">
        <w:fldChar w:fldCharType="end"/>
      </w:r>
      <w:r w:rsidR="007E78BE">
        <w:t>)</w:t>
      </w:r>
      <w:r>
        <w:t>, varying far less than rainfall, which</w:t>
      </w:r>
      <w:r w:rsidR="0068024E">
        <w:t xml:space="preserve"> varies from</w:t>
      </w:r>
      <w:r w:rsidR="004105BB">
        <w:t xml:space="preserve"> 176 mm in February to </w:t>
      </w:r>
      <w:r w:rsidR="000E2552">
        <w:t>351 mm in July</w:t>
      </w:r>
      <w:r>
        <w:t>. Th</w:t>
      </w:r>
      <w:r w:rsidR="000E2552">
        <w:t>e</w:t>
      </w:r>
      <w:r>
        <w:t xml:space="preserve"> modest variability </w:t>
      </w:r>
      <w:r w:rsidR="000E2552">
        <w:t xml:space="preserve">in ET </w:t>
      </w:r>
      <w:r>
        <w:t>highlights that available energy</w:t>
      </w:r>
      <w:r w:rsidR="009163FD">
        <w:t xml:space="preserve">, </w:t>
      </w:r>
      <w:r>
        <w:t>rather than soil moisture</w:t>
      </w:r>
      <w:r w:rsidR="009163FD">
        <w:t xml:space="preserve">, </w:t>
      </w:r>
      <w:r w:rsidR="00F435CA">
        <w:t>dictates ET,</w:t>
      </w:r>
      <w:r>
        <w:t xml:space="preserve"> even during wetter months when soils are consistently saturated.</w:t>
      </w:r>
    </w:p>
    <w:p w14:paraId="0AA3404A" w14:textId="70FB1544" w:rsidR="0072187A" w:rsidRDefault="00033905" w:rsidP="00726727">
      <w:pPr>
        <w:pStyle w:val="BodyText"/>
      </w:pPr>
      <w:r>
        <w:rPr>
          <w:noProof/>
        </w:rPr>
        <w:drawing>
          <wp:inline distT="0" distB="0" distL="0" distR="0" wp14:anchorId="6B6BB342" wp14:editId="6C53BA37">
            <wp:extent cx="5943600" cy="3172460"/>
            <wp:effectExtent l="0" t="0" r="0" b="8890"/>
            <wp:docPr id="209297543" name="Chart 1">
              <a:extLst xmlns:a="http://schemas.openxmlformats.org/drawingml/2006/main">
                <a:ext uri="{FF2B5EF4-FFF2-40B4-BE49-F238E27FC236}">
                  <a16:creationId xmlns:a16="http://schemas.microsoft.com/office/drawing/2014/main" id="{104704A3-CBC6-4082-8B72-DFFA26EDF8C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p w14:paraId="608605E7" w14:textId="53AFC744" w:rsidR="003A568F" w:rsidRPr="003A568F" w:rsidRDefault="00011162" w:rsidP="00011162">
      <w:pPr>
        <w:pStyle w:val="Caption"/>
        <w:rPr>
          <w:rFonts w:ascii="Arial Narrow" w:hAnsi="Arial Narrow"/>
        </w:rPr>
      </w:pPr>
      <w:bookmarkStart w:id="97" w:name="_Ref226900984"/>
      <w:bookmarkStart w:id="98" w:name="_Toc227410291"/>
      <w:r w:rsidRPr="003A568F">
        <w:rPr>
          <w:rFonts w:ascii="Arial Narrow" w:hAnsi="Arial Narrow"/>
        </w:rPr>
        <w:t xml:space="preserve">Figure </w:t>
      </w:r>
      <w:r w:rsidRPr="003A568F">
        <w:rPr>
          <w:rFonts w:ascii="Arial Narrow" w:hAnsi="Arial Narrow"/>
        </w:rPr>
        <w:fldChar w:fldCharType="begin"/>
      </w:r>
      <w:r w:rsidRPr="003A568F">
        <w:rPr>
          <w:rFonts w:ascii="Arial Narrow" w:hAnsi="Arial Narrow"/>
        </w:rPr>
        <w:instrText xml:space="preserve"> SEQ Figure \* ARABIC </w:instrText>
      </w:r>
      <w:r w:rsidRPr="003A568F">
        <w:rPr>
          <w:rFonts w:ascii="Arial Narrow" w:hAnsi="Arial Narrow"/>
        </w:rPr>
        <w:fldChar w:fldCharType="separate"/>
      </w:r>
      <w:r w:rsidR="00244816">
        <w:rPr>
          <w:rFonts w:ascii="Arial Narrow" w:hAnsi="Arial Narrow"/>
          <w:noProof/>
        </w:rPr>
        <w:t>19</w:t>
      </w:r>
      <w:r w:rsidRPr="003A568F">
        <w:rPr>
          <w:rFonts w:ascii="Arial Narrow" w:hAnsi="Arial Narrow"/>
        </w:rPr>
        <w:fldChar w:fldCharType="end"/>
      </w:r>
      <w:bookmarkEnd w:id="97"/>
      <w:r w:rsidRPr="003A568F">
        <w:rPr>
          <w:rFonts w:ascii="Arial Narrow" w:hAnsi="Arial Narrow"/>
        </w:rPr>
        <w:t xml:space="preserve">. </w:t>
      </w:r>
      <w:r w:rsidR="002407A9">
        <w:rPr>
          <w:rFonts w:ascii="Arial Narrow" w:hAnsi="Arial Narrow"/>
        </w:rPr>
        <w:t>Mean</w:t>
      </w:r>
      <w:r w:rsidRPr="003A568F">
        <w:rPr>
          <w:rFonts w:ascii="Arial Narrow" w:hAnsi="Arial Narrow"/>
        </w:rPr>
        <w:t xml:space="preserve"> monthly precipitation </w:t>
      </w:r>
      <w:r w:rsidR="002407A9">
        <w:rPr>
          <w:rFonts w:ascii="Arial Narrow" w:hAnsi="Arial Narrow"/>
        </w:rPr>
        <w:t>(P)</w:t>
      </w:r>
      <w:r w:rsidR="002407A9" w:rsidRPr="00687C34">
        <w:rPr>
          <w:rFonts w:ascii="Arial Narrow" w:hAnsi="Arial Narrow"/>
        </w:rPr>
        <w:t xml:space="preserve"> </w:t>
      </w:r>
      <w:r w:rsidRPr="003A568F">
        <w:rPr>
          <w:rFonts w:ascii="Arial Narrow" w:hAnsi="Arial Narrow"/>
        </w:rPr>
        <w:t xml:space="preserve">and actual ET </w:t>
      </w:r>
      <w:r w:rsidR="002407A9">
        <w:rPr>
          <w:rFonts w:ascii="Arial Narrow" w:hAnsi="Arial Narrow"/>
        </w:rPr>
        <w:t xml:space="preserve">(ETa) </w:t>
      </w:r>
      <w:r w:rsidRPr="003A568F">
        <w:rPr>
          <w:rFonts w:ascii="Arial Narrow" w:hAnsi="Arial Narrow"/>
        </w:rPr>
        <w:t>in mm</w:t>
      </w:r>
      <w:r w:rsidR="002407A9" w:rsidRPr="00687C34">
        <w:rPr>
          <w:rFonts w:ascii="Arial Narrow" w:hAnsi="Arial Narrow"/>
        </w:rPr>
        <w:t xml:space="preserve"> </w:t>
      </w:r>
      <w:r w:rsidR="002407A9">
        <w:rPr>
          <w:rFonts w:ascii="Arial Narrow" w:hAnsi="Arial Narrow"/>
        </w:rPr>
        <w:t>for Pohnpei (2013-2025)</w:t>
      </w:r>
      <w:r w:rsidR="002407A9" w:rsidRPr="00687C34">
        <w:rPr>
          <w:rFonts w:ascii="Arial Narrow" w:hAnsi="Arial Narrow"/>
        </w:rPr>
        <w:t>.</w:t>
      </w:r>
      <w:bookmarkEnd w:id="98"/>
      <w:r w:rsidR="002407A9" w:rsidRPr="003A568F">
        <w:rPr>
          <w:rFonts w:ascii="Arial Narrow" w:hAnsi="Arial Narrow"/>
        </w:rPr>
        <w:t xml:space="preserve"> </w:t>
      </w:r>
    </w:p>
    <w:p w14:paraId="1D5EFD52" w14:textId="2D76805C" w:rsidR="00011162" w:rsidRPr="00EA65C9" w:rsidRDefault="00011162" w:rsidP="003A568F">
      <w:pPr>
        <w:pStyle w:val="Caption"/>
        <w:ind w:firstLine="720"/>
        <w:rPr>
          <w:rFonts w:ascii="Arial Narrow" w:hAnsi="Arial Narrow"/>
        </w:rPr>
      </w:pPr>
      <w:r>
        <w:rPr>
          <w:rFonts w:ascii="Arial Narrow" w:hAnsi="Arial Narrow"/>
        </w:rPr>
        <w:t xml:space="preserve">Alt. text. Area chart showing the </w:t>
      </w:r>
      <w:r w:rsidR="002407A9">
        <w:rPr>
          <w:rFonts w:ascii="Arial Narrow" w:hAnsi="Arial Narrow"/>
        </w:rPr>
        <w:t>mean</w:t>
      </w:r>
      <w:r>
        <w:rPr>
          <w:rFonts w:ascii="Arial Narrow" w:hAnsi="Arial Narrow"/>
        </w:rPr>
        <w:t xml:space="preserve"> monthly precipitation </w:t>
      </w:r>
      <w:r w:rsidR="002407A9">
        <w:rPr>
          <w:rFonts w:ascii="Arial Narrow" w:hAnsi="Arial Narrow"/>
        </w:rPr>
        <w:t>(P)</w:t>
      </w:r>
      <w:r w:rsidR="002407A9" w:rsidRPr="00687C34">
        <w:rPr>
          <w:rFonts w:ascii="Arial Narrow" w:hAnsi="Arial Narrow"/>
        </w:rPr>
        <w:t xml:space="preserve"> and actual ET</w:t>
      </w:r>
      <w:r w:rsidR="002407A9">
        <w:rPr>
          <w:rFonts w:ascii="Arial Narrow" w:hAnsi="Arial Narrow"/>
        </w:rPr>
        <w:t xml:space="preserve"> (ETa) </w:t>
      </w:r>
      <w:r>
        <w:rPr>
          <w:rFonts w:ascii="Arial Narrow" w:hAnsi="Arial Narrow"/>
        </w:rPr>
        <w:t xml:space="preserve">in mm </w:t>
      </w:r>
      <w:r w:rsidR="002407A9">
        <w:rPr>
          <w:rFonts w:ascii="Arial Narrow" w:hAnsi="Arial Narrow"/>
        </w:rPr>
        <w:t xml:space="preserve">for Pohnpei (2013-2025) </w:t>
      </w:r>
      <w:r>
        <w:rPr>
          <w:rFonts w:ascii="Arial Narrow" w:hAnsi="Arial Narrow"/>
        </w:rPr>
        <w:t>with blue hatch lines and actual ET in mm in green (solid).</w:t>
      </w:r>
    </w:p>
    <w:p w14:paraId="5FF3DAD3" w14:textId="77777777" w:rsidR="00011162" w:rsidRDefault="00011162" w:rsidP="00726727">
      <w:pPr>
        <w:pStyle w:val="BodyText"/>
      </w:pPr>
    </w:p>
    <w:p w14:paraId="4C45D2BE" w14:textId="016A2F11" w:rsidR="004D0E6F" w:rsidRDefault="00726727" w:rsidP="00726727">
      <w:pPr>
        <w:pStyle w:val="BodyText"/>
      </w:pPr>
      <w:r>
        <w:t>Annual ET totals show a similar degree of stability</w:t>
      </w:r>
      <w:r w:rsidR="0072187A">
        <w:t xml:space="preserve"> (</w:t>
      </w:r>
      <w:r w:rsidR="001E33C5">
        <w:fldChar w:fldCharType="begin"/>
      </w:r>
      <w:r w:rsidR="001E33C5">
        <w:instrText xml:space="preserve"> REF _Ref226901527 \h </w:instrText>
      </w:r>
      <w:r w:rsidR="001E33C5">
        <w:fldChar w:fldCharType="separate"/>
      </w:r>
      <w:r w:rsidR="00244816" w:rsidRPr="001E33C5">
        <w:rPr>
          <w:rFonts w:ascii="Arial Narrow" w:hAnsi="Arial Narrow"/>
        </w:rPr>
        <w:t xml:space="preserve">Figure </w:t>
      </w:r>
      <w:r w:rsidR="00244816">
        <w:rPr>
          <w:rFonts w:ascii="Arial Narrow" w:hAnsi="Arial Narrow"/>
          <w:noProof/>
        </w:rPr>
        <w:t>20</w:t>
      </w:r>
      <w:r w:rsidR="001E33C5">
        <w:fldChar w:fldCharType="end"/>
      </w:r>
      <w:r w:rsidR="0072187A">
        <w:t>)</w:t>
      </w:r>
      <w:r>
        <w:t>. From 2013 through 2025, actual ET varies only between approximately 1,140 and 1,230 mm per year, indicating that year‑to‑year changes in atmospheric water loss are small compared to the much larger variability in precipitation. This consistency reflects the climatic controls on ET</w:t>
      </w:r>
      <w:r w:rsidR="001F2387">
        <w:t>.</w:t>
      </w:r>
      <w:r w:rsidR="00554C57">
        <w:t xml:space="preserve">   </w:t>
      </w:r>
    </w:p>
    <w:p w14:paraId="0123F34B" w14:textId="16F03A5C" w:rsidR="001C58DF" w:rsidRDefault="001C58DF" w:rsidP="000358F3">
      <w:pPr>
        <w:pStyle w:val="BodyText"/>
        <w:ind w:firstLine="0"/>
      </w:pPr>
      <w:r>
        <w:rPr>
          <w:noProof/>
        </w:rPr>
        <w:drawing>
          <wp:inline distT="0" distB="0" distL="0" distR="0" wp14:anchorId="18FB9AAA" wp14:editId="3BA943EF">
            <wp:extent cx="5943600" cy="2557780"/>
            <wp:effectExtent l="0" t="0" r="0" b="0"/>
            <wp:docPr id="1229025179" name="Chart 1">
              <a:extLst xmlns:a="http://schemas.openxmlformats.org/drawingml/2006/main">
                <a:ext uri="{FF2B5EF4-FFF2-40B4-BE49-F238E27FC236}">
                  <a16:creationId xmlns:a16="http://schemas.microsoft.com/office/drawing/2014/main" id="{98370491-D277-482A-AE27-61792D82A338}"/>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p w14:paraId="67F605E2" w14:textId="59EDB76B" w:rsidR="001E33C5" w:rsidRPr="001E33C5" w:rsidRDefault="001E33C5" w:rsidP="001E33C5">
      <w:pPr>
        <w:pStyle w:val="Caption"/>
        <w:rPr>
          <w:rFonts w:ascii="Arial Narrow" w:hAnsi="Arial Narrow"/>
        </w:rPr>
      </w:pPr>
      <w:bookmarkStart w:id="99" w:name="_Ref226901527"/>
      <w:bookmarkStart w:id="100" w:name="_Toc227410292"/>
      <w:r w:rsidRPr="001E33C5">
        <w:rPr>
          <w:rFonts w:ascii="Arial Narrow" w:hAnsi="Arial Narrow"/>
        </w:rPr>
        <w:t xml:space="preserve">Figure </w:t>
      </w:r>
      <w:r w:rsidRPr="001E33C5">
        <w:rPr>
          <w:rFonts w:ascii="Arial Narrow" w:hAnsi="Arial Narrow"/>
        </w:rPr>
        <w:fldChar w:fldCharType="begin"/>
      </w:r>
      <w:r w:rsidRPr="001E33C5">
        <w:rPr>
          <w:rFonts w:ascii="Arial Narrow" w:hAnsi="Arial Narrow"/>
        </w:rPr>
        <w:instrText xml:space="preserve"> SEQ Figure \* ARABIC </w:instrText>
      </w:r>
      <w:r w:rsidRPr="001E33C5">
        <w:rPr>
          <w:rFonts w:ascii="Arial Narrow" w:hAnsi="Arial Narrow"/>
        </w:rPr>
        <w:fldChar w:fldCharType="separate"/>
      </w:r>
      <w:r w:rsidR="00244816">
        <w:rPr>
          <w:rFonts w:ascii="Arial Narrow" w:hAnsi="Arial Narrow"/>
          <w:noProof/>
        </w:rPr>
        <w:t>20</w:t>
      </w:r>
      <w:r w:rsidRPr="001E33C5">
        <w:rPr>
          <w:rFonts w:ascii="Arial Narrow" w:hAnsi="Arial Narrow"/>
        </w:rPr>
        <w:fldChar w:fldCharType="end"/>
      </w:r>
      <w:bookmarkEnd w:id="99"/>
      <w:r w:rsidRPr="001E33C5">
        <w:rPr>
          <w:rFonts w:ascii="Arial Narrow" w:hAnsi="Arial Narrow"/>
        </w:rPr>
        <w:t>. Annual actual ET for years 2013 - 2025 in mm.</w:t>
      </w:r>
      <w:bookmarkEnd w:id="100"/>
    </w:p>
    <w:p w14:paraId="4FED38AC" w14:textId="0EBC46D5" w:rsidR="001E33C5" w:rsidRPr="009F43CC" w:rsidRDefault="001E33C5" w:rsidP="001E33C5">
      <w:pPr>
        <w:pStyle w:val="Caption"/>
        <w:rPr>
          <w:rFonts w:ascii="Arial Narrow" w:hAnsi="Arial Narrow"/>
        </w:rPr>
      </w:pPr>
      <w:r>
        <w:rPr>
          <w:rFonts w:ascii="Arial Narrow" w:hAnsi="Arial Narrow"/>
        </w:rPr>
        <w:tab/>
        <w:t>Alt. text. Bar chart with a</w:t>
      </w:r>
      <w:r w:rsidRPr="00144922">
        <w:rPr>
          <w:rFonts w:ascii="Arial Narrow" w:hAnsi="Arial Narrow"/>
        </w:rPr>
        <w:t>nnual actual ET for years 2013 - 2025 in mm</w:t>
      </w:r>
      <w:r>
        <w:rPr>
          <w:rFonts w:ascii="Arial Narrow" w:hAnsi="Arial Narrow"/>
        </w:rPr>
        <w:t>.</w:t>
      </w:r>
    </w:p>
    <w:p w14:paraId="7FB50A96" w14:textId="2E37A439" w:rsidR="00726727" w:rsidRDefault="00726727" w:rsidP="00726727">
      <w:pPr>
        <w:pStyle w:val="BodyText"/>
      </w:pPr>
      <w:r>
        <w:t>Because ET changes so little from month to month or year to year, interannual differences in Pohnpei’s water availability are driven almost entirely by precipitation variability rather than changes in evaporative demand. Even during years with reduced rainfall, ET remains relatively constant, meaning that declines in precipitation directly translate into reduced net water inputs. Conversely, during exceptionally wet years, nearly all additional rainfall becomes available for runoff, groundwater recharge, or storage because ET does not increase proportionally.</w:t>
      </w:r>
    </w:p>
    <w:p w14:paraId="6AE5471D" w14:textId="1AEDE2B2" w:rsidR="00C053F7" w:rsidRPr="009D558C" w:rsidRDefault="00726727" w:rsidP="00726727">
      <w:pPr>
        <w:pStyle w:val="BodyText"/>
      </w:pPr>
      <w:r>
        <w:t>This stable ET regime contributes to Pohnpei’s abundant freshwater resources</w:t>
      </w:r>
      <w:r w:rsidR="006D265C">
        <w:t xml:space="preserve">, </w:t>
      </w:r>
      <w:r>
        <w:t>including perennial streams, extensive wetlands, and high baseflow</w:t>
      </w:r>
      <w:r w:rsidR="006D265C">
        <w:t xml:space="preserve"> </w:t>
      </w:r>
      <w:r>
        <w:t>while also emphasizing the island’s sensitivity to extended dry periods. During such events, even modest reductions in precipitation can reduce water inputs substantially because ET demand continues at near‑normal levels. Accordingly, understanding the predictable behavior of ET is essential for effective water‑resource planning across the island.</w:t>
      </w:r>
    </w:p>
    <w:p w14:paraId="4C213780" w14:textId="77777777" w:rsidR="004836C2" w:rsidRDefault="004836C2" w:rsidP="004836C2">
      <w:pPr>
        <w:pStyle w:val="Head3"/>
      </w:pPr>
      <w:bookmarkStart w:id="101" w:name="_Toc228288442"/>
      <w:r w:rsidRPr="009D558C">
        <w:t>Water Balance</w:t>
      </w:r>
      <w:bookmarkEnd w:id="101"/>
    </w:p>
    <w:p w14:paraId="1A7D4F45" w14:textId="746D217B" w:rsidR="003068EF" w:rsidRDefault="003068EF" w:rsidP="00623E5D">
      <w:pPr>
        <w:pStyle w:val="BodyText"/>
      </w:pPr>
      <w:r>
        <w:t>The water balance on Pohnpei reflects the interaction between exceptionally high precipitation, relatively stable evapotranspiration, and the island’s substantial capacity for surface‑water generation through its steep volcanic watersheds and dense vegetation cover. Because actual ET varies only modestly throughout the year, net water availability is driven almost entirely by fluctuations in rainfall. As a result, Pohnpei consistently exhibits large monthly and annual water surpluses, punctuated by occasional but notable declines during regional drought events.</w:t>
      </w:r>
    </w:p>
    <w:p w14:paraId="3748EA24" w14:textId="574FC5D2" w:rsidR="00D40BEA" w:rsidRDefault="00C9722B" w:rsidP="00D40BEA">
      <w:pPr>
        <w:pStyle w:val="BodyText"/>
      </w:pPr>
      <w:r>
        <w:t xml:space="preserve">Monthly </w:t>
      </w:r>
      <w:r w:rsidR="00575028">
        <w:t>net water availability</w:t>
      </w:r>
      <w:r>
        <w:t xml:space="preserve"> ranges from </w:t>
      </w:r>
      <w:r w:rsidR="002F4C3D">
        <w:t>-121 mm</w:t>
      </w:r>
      <w:r>
        <w:t xml:space="preserve"> to more than 5</w:t>
      </w:r>
      <w:r w:rsidR="002F4C3D">
        <w:t>0</w:t>
      </w:r>
      <w:r>
        <w:t>0 mm</w:t>
      </w:r>
      <w:r w:rsidR="002F4C3D">
        <w:t xml:space="preserve"> in March 2018</w:t>
      </w:r>
      <w:r>
        <w:t xml:space="preserve">, with several months exceeding </w:t>
      </w:r>
      <w:r w:rsidR="00457D5B">
        <w:t>4</w:t>
      </w:r>
      <w:r>
        <w:t>00 mm</w:t>
      </w:r>
      <w:r w:rsidR="00457D5B">
        <w:t xml:space="preserve"> </w:t>
      </w:r>
      <w:r>
        <w:t xml:space="preserve">producing </w:t>
      </w:r>
      <w:r w:rsidR="00457D5B">
        <w:t>therefore</w:t>
      </w:r>
      <w:r>
        <w:t xml:space="preserve"> large surpluses</w:t>
      </w:r>
      <w:r w:rsidR="00874877">
        <w:t xml:space="preserve"> (</w:t>
      </w:r>
      <w:r w:rsidR="00874877">
        <w:fldChar w:fldCharType="begin"/>
      </w:r>
      <w:r w:rsidR="00874877">
        <w:instrText xml:space="preserve"> REF _Ref226902798 \h </w:instrText>
      </w:r>
      <w:r w:rsidR="00874877">
        <w:fldChar w:fldCharType="separate"/>
      </w:r>
      <w:r w:rsidR="00244816" w:rsidRPr="00234FB9">
        <w:rPr>
          <w:rFonts w:ascii="Arial Narrow" w:hAnsi="Arial Narrow"/>
        </w:rPr>
        <w:t xml:space="preserve">Figure </w:t>
      </w:r>
      <w:r w:rsidR="00244816">
        <w:rPr>
          <w:rFonts w:ascii="Arial Narrow" w:hAnsi="Arial Narrow"/>
          <w:noProof/>
        </w:rPr>
        <w:t>21</w:t>
      </w:r>
      <w:r w:rsidR="00874877">
        <w:fldChar w:fldCharType="end"/>
      </w:r>
      <w:r w:rsidR="00874877">
        <w:t>)</w:t>
      </w:r>
      <w:r>
        <w:t xml:space="preserve">. In contrast, the driest months, including </w:t>
      </w:r>
      <w:r w:rsidR="007F584F">
        <w:t>February 2016</w:t>
      </w:r>
      <w:r>
        <w:t xml:space="preserve"> and </w:t>
      </w:r>
      <w:r w:rsidR="007F584F">
        <w:t>March</w:t>
      </w:r>
      <w:r>
        <w:t xml:space="preserve"> </w:t>
      </w:r>
      <w:r w:rsidR="00874877">
        <w:t>2020</w:t>
      </w:r>
      <w:r>
        <w:t xml:space="preserve"> generate </w:t>
      </w:r>
      <w:r w:rsidR="00874877">
        <w:t>negative</w:t>
      </w:r>
      <w:r>
        <w:t xml:space="preserve"> net water availability. These dry extremes predominantly occur during strong ENSO events, which temporarily suppress rainfall across the region.</w:t>
      </w:r>
      <w:r w:rsidR="00BC76BF">
        <w:rPr>
          <w:noProof/>
        </w:rPr>
        <w:drawing>
          <wp:inline distT="0" distB="0" distL="0" distR="0" wp14:anchorId="75203374" wp14:editId="4C6D421C">
            <wp:extent cx="6038850" cy="3313215"/>
            <wp:effectExtent l="0" t="0" r="0" b="1905"/>
            <wp:docPr id="1318536436" name="Chart 1">
              <a:extLst xmlns:a="http://schemas.openxmlformats.org/drawingml/2006/main">
                <a:ext uri="{FF2B5EF4-FFF2-40B4-BE49-F238E27FC236}">
                  <a16:creationId xmlns:a16="http://schemas.microsoft.com/office/drawing/2014/main" id="{D5D67267-C1C4-4B22-BA24-2BBBC747C161}"/>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p w14:paraId="3DAC227B" w14:textId="1F90527F" w:rsidR="00234FB9" w:rsidRPr="00234FB9" w:rsidRDefault="00234FB9" w:rsidP="00234FB9">
      <w:pPr>
        <w:pStyle w:val="Caption"/>
        <w:rPr>
          <w:rFonts w:ascii="Arial Narrow" w:hAnsi="Arial Narrow"/>
        </w:rPr>
      </w:pPr>
      <w:bookmarkStart w:id="102" w:name="_Ref226902798"/>
      <w:bookmarkStart w:id="103" w:name="_Toc227410293"/>
      <w:r w:rsidRPr="00234FB9">
        <w:rPr>
          <w:rFonts w:ascii="Arial Narrow" w:hAnsi="Arial Narrow"/>
        </w:rPr>
        <w:t xml:space="preserve">Figure </w:t>
      </w:r>
      <w:r w:rsidRPr="00234FB9">
        <w:rPr>
          <w:rFonts w:ascii="Arial Narrow" w:hAnsi="Arial Narrow"/>
        </w:rPr>
        <w:fldChar w:fldCharType="begin"/>
      </w:r>
      <w:r w:rsidRPr="00234FB9">
        <w:rPr>
          <w:rFonts w:ascii="Arial Narrow" w:hAnsi="Arial Narrow"/>
        </w:rPr>
        <w:instrText xml:space="preserve"> SEQ Figure \* ARABIC </w:instrText>
      </w:r>
      <w:r w:rsidRPr="00234FB9">
        <w:rPr>
          <w:rFonts w:ascii="Arial Narrow" w:hAnsi="Arial Narrow"/>
        </w:rPr>
        <w:fldChar w:fldCharType="separate"/>
      </w:r>
      <w:r w:rsidR="00244816">
        <w:rPr>
          <w:rFonts w:ascii="Arial Narrow" w:hAnsi="Arial Narrow"/>
          <w:noProof/>
        </w:rPr>
        <w:t>21</w:t>
      </w:r>
      <w:r w:rsidRPr="00234FB9">
        <w:rPr>
          <w:rFonts w:ascii="Arial Narrow" w:hAnsi="Arial Narrow"/>
        </w:rPr>
        <w:fldChar w:fldCharType="end"/>
      </w:r>
      <w:bookmarkEnd w:id="102"/>
      <w:r w:rsidRPr="00234FB9">
        <w:rPr>
          <w:rFonts w:ascii="Arial Narrow" w:hAnsi="Arial Narrow"/>
        </w:rPr>
        <w:t>. Monthly net water availability for years 2012 - 2025 in mm.</w:t>
      </w:r>
      <w:bookmarkEnd w:id="103"/>
    </w:p>
    <w:p w14:paraId="693DD334" w14:textId="3E863500" w:rsidR="00FC7B96" w:rsidRPr="00AF309D" w:rsidRDefault="00FC7B96" w:rsidP="00234FB9">
      <w:pPr>
        <w:pStyle w:val="Caption"/>
        <w:rPr>
          <w:rFonts w:ascii="Arial Narrow" w:hAnsi="Arial Narrow"/>
        </w:rPr>
      </w:pPr>
      <w:r>
        <w:rPr>
          <w:rFonts w:ascii="Arial Narrow" w:hAnsi="Arial Narrow"/>
        </w:rPr>
        <w:tab/>
        <w:t>Alt. text. Bar chart showing m</w:t>
      </w:r>
      <w:r w:rsidRPr="00233067">
        <w:rPr>
          <w:rFonts w:ascii="Arial Narrow" w:hAnsi="Arial Narrow"/>
        </w:rPr>
        <w:t>onthly net water availability for years 2012 - 2025 in mm.</w:t>
      </w:r>
    </w:p>
    <w:p w14:paraId="2162BF17" w14:textId="19561250" w:rsidR="00FF2B27" w:rsidRDefault="00FF2B27" w:rsidP="00DA1212">
      <w:pPr>
        <w:pStyle w:val="BodyText"/>
      </w:pPr>
      <w:r>
        <w:t xml:space="preserve">During most months of the year, however, Pohnpei experiences substantial positive water balances. Precipitation routinely exceeds actual ET by several hundred millimeters, </w:t>
      </w:r>
      <w:r w:rsidR="00C3166C">
        <w:t xml:space="preserve">potentially </w:t>
      </w:r>
      <w:r>
        <w:t xml:space="preserve">contributing directly to increased soil moisture, perennial streamflow, sustained baseflow, and widespread groundwater recharge. </w:t>
      </w:r>
      <w:r w:rsidR="003774D9">
        <w:t>N</w:t>
      </w:r>
      <w:r>
        <w:t>early all excess rainfall becomes available for hydrologic replenishment, supporting the island’s extensive freshwater resources.</w:t>
      </w:r>
      <w:r w:rsidR="00DA1212">
        <w:t xml:space="preserve"> </w:t>
      </w:r>
      <w:r>
        <w:t>During dry periods</w:t>
      </w:r>
      <w:r w:rsidR="00DA1212">
        <w:t xml:space="preserve">, </w:t>
      </w:r>
      <w:r>
        <w:t>such as the ENSO‑driven drought</w:t>
      </w:r>
      <w:r w:rsidR="007134DA">
        <w:t xml:space="preserve"> of</w:t>
      </w:r>
      <w:r>
        <w:t xml:space="preserve"> 2016</w:t>
      </w:r>
      <w:r w:rsidR="00DA1212">
        <w:t xml:space="preserve">, </w:t>
      </w:r>
      <w:r>
        <w:t xml:space="preserve">rainfall declines sharply while ET continues at near‑normal levels, leading to short‑term reductions in net water availability. Although Pohnpei’s overall hydrologic system is resilient, these events can still reduce streamflow, lower reservoir or intake yields, and increase turbidity susceptibility when rainfall abruptly resumes. However, unlike the low‑lying atolls of Yap State or the Chuuk Lagoon, Pohnpei’s larger watersheds and deeper volcanic aquifers </w:t>
      </w:r>
      <w:r w:rsidR="007B1139">
        <w:t xml:space="preserve">could </w:t>
      </w:r>
      <w:r>
        <w:t>provide buffering capacity that helps moderate the impacts of multi‑week dry spells.</w:t>
      </w:r>
    </w:p>
    <w:p w14:paraId="5EA09D6F" w14:textId="2FDAB039" w:rsidR="0087464A" w:rsidRDefault="0087464A" w:rsidP="00DA1212">
      <w:pPr>
        <w:pStyle w:val="BodyText"/>
      </w:pPr>
      <w:r>
        <w:t>Interannual variability reflects this same pattern</w:t>
      </w:r>
      <w:r w:rsidR="005F058D">
        <w:t xml:space="preserve"> (</w:t>
      </w:r>
      <w:r w:rsidR="005F058D">
        <w:fldChar w:fldCharType="begin"/>
      </w:r>
      <w:r w:rsidR="005F058D">
        <w:instrText xml:space="preserve"> REF _Ref226903133 \h </w:instrText>
      </w:r>
      <w:r w:rsidR="005F058D">
        <w:fldChar w:fldCharType="separate"/>
      </w:r>
      <w:r w:rsidR="00244816" w:rsidRPr="0087464A">
        <w:rPr>
          <w:rFonts w:ascii="Arial Narrow" w:hAnsi="Arial Narrow"/>
        </w:rPr>
        <w:t xml:space="preserve">Figure </w:t>
      </w:r>
      <w:r w:rsidR="00244816">
        <w:rPr>
          <w:rFonts w:ascii="Arial Narrow" w:hAnsi="Arial Narrow"/>
          <w:noProof/>
        </w:rPr>
        <w:t>22</w:t>
      </w:r>
      <w:r w:rsidR="005F058D">
        <w:fldChar w:fldCharType="end"/>
      </w:r>
      <w:r w:rsidR="005F058D">
        <w:t>)</w:t>
      </w:r>
      <w:r>
        <w:t>. Wet years</w:t>
      </w:r>
      <w:r w:rsidR="00205B93">
        <w:t xml:space="preserve"> </w:t>
      </w:r>
      <w:r>
        <w:t>includ</w:t>
      </w:r>
      <w:r w:rsidR="00205B93">
        <w:t>e</w:t>
      </w:r>
      <w:r>
        <w:t xml:space="preserve"> 2018 (4,361 mm), 2022 (4,405 mm), and 2023 (3,865 mm)</w:t>
      </w:r>
      <w:r w:rsidR="00205B93">
        <w:t xml:space="preserve"> and </w:t>
      </w:r>
      <w:r>
        <w:t>produce</w:t>
      </w:r>
      <w:r w:rsidR="00205B93">
        <w:t>d</w:t>
      </w:r>
      <w:r>
        <w:t xml:space="preserve"> very large annual surpluses</w:t>
      </w:r>
      <w:r w:rsidR="00205B93">
        <w:t xml:space="preserve">. </w:t>
      </w:r>
      <w:r>
        <w:t xml:space="preserve">Drier years such as </w:t>
      </w:r>
      <w:r w:rsidR="00205B93">
        <w:t>2013</w:t>
      </w:r>
      <w:r>
        <w:t xml:space="preserve"> (</w:t>
      </w:r>
      <w:r w:rsidR="00205B93">
        <w:t>1434</w:t>
      </w:r>
      <w:r>
        <w:t xml:space="preserve"> mm), though still wetter than many islands in the region, demonstrate the degree to which precipitation anomalies directly influence annual water availability. Because ET remains relatively stable from year to year, differences in annual net water are driven almost entirely by precipitation variability, emphasizing the importance of understanding rainfall patterns and ENSO dynamics for long‑term water‑resource planning.</w:t>
      </w:r>
    </w:p>
    <w:p w14:paraId="2BC00CF5" w14:textId="6015A48C" w:rsidR="00EE5A92" w:rsidRDefault="00EE5A92" w:rsidP="00FF2B27">
      <w:pPr>
        <w:pStyle w:val="BodyText"/>
      </w:pPr>
    </w:p>
    <w:p w14:paraId="64C53842" w14:textId="77777777" w:rsidR="00E65864" w:rsidRDefault="00E65864" w:rsidP="00FF2B27">
      <w:pPr>
        <w:pStyle w:val="BodyText"/>
      </w:pPr>
    </w:p>
    <w:p w14:paraId="0B376DF6" w14:textId="335FCEB4" w:rsidR="00E65864" w:rsidRDefault="00E65864" w:rsidP="00FF2B27">
      <w:pPr>
        <w:pStyle w:val="BodyText"/>
      </w:pPr>
      <w:r>
        <w:rPr>
          <w:noProof/>
        </w:rPr>
        <w:drawing>
          <wp:inline distT="0" distB="0" distL="0" distR="0" wp14:anchorId="7D89A8B4" wp14:editId="57DF4068">
            <wp:extent cx="5943600" cy="2936240"/>
            <wp:effectExtent l="0" t="0" r="0" b="0"/>
            <wp:docPr id="615650609" name="Chart 1">
              <a:extLst xmlns:a="http://schemas.openxmlformats.org/drawingml/2006/main">
                <a:ext uri="{FF2B5EF4-FFF2-40B4-BE49-F238E27FC236}">
                  <a16:creationId xmlns:a16="http://schemas.microsoft.com/office/drawing/2014/main" id="{F22418D6-4C8E-4332-958C-B054FFE0F66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p w14:paraId="657FD92A" w14:textId="733B8EDB" w:rsidR="0087464A" w:rsidRPr="0087464A" w:rsidRDefault="0087464A" w:rsidP="0087464A">
      <w:pPr>
        <w:pStyle w:val="Caption"/>
        <w:rPr>
          <w:rFonts w:ascii="Arial Narrow" w:hAnsi="Arial Narrow"/>
        </w:rPr>
      </w:pPr>
      <w:bookmarkStart w:id="104" w:name="_Ref226903133"/>
      <w:bookmarkStart w:id="105" w:name="_Toc227410294"/>
      <w:r w:rsidRPr="5D4249CE">
        <w:rPr>
          <w:rFonts w:ascii="Arial Narrow" w:hAnsi="Arial Narrow"/>
        </w:rPr>
        <w:t xml:space="preserve">Figure </w:t>
      </w:r>
      <w:r w:rsidRPr="5D4249CE">
        <w:rPr>
          <w:rFonts w:ascii="Arial Narrow" w:hAnsi="Arial Narrow"/>
        </w:rPr>
        <w:fldChar w:fldCharType="begin"/>
      </w:r>
      <w:r w:rsidRPr="5D4249CE">
        <w:rPr>
          <w:rFonts w:ascii="Arial Narrow" w:hAnsi="Arial Narrow"/>
        </w:rPr>
        <w:instrText xml:space="preserve"> SEQ Figure \* ARABIC </w:instrText>
      </w:r>
      <w:r w:rsidRPr="5D4249CE">
        <w:rPr>
          <w:rFonts w:ascii="Arial Narrow" w:hAnsi="Arial Narrow"/>
        </w:rPr>
        <w:fldChar w:fldCharType="separate"/>
      </w:r>
      <w:r w:rsidR="00244816" w:rsidRPr="5D4249CE">
        <w:rPr>
          <w:rFonts w:ascii="Arial Narrow" w:hAnsi="Arial Narrow"/>
          <w:noProof/>
        </w:rPr>
        <w:t>22</w:t>
      </w:r>
      <w:r w:rsidRPr="5D4249CE">
        <w:rPr>
          <w:rFonts w:ascii="Arial Narrow" w:hAnsi="Arial Narrow"/>
        </w:rPr>
        <w:fldChar w:fldCharType="end"/>
      </w:r>
      <w:bookmarkEnd w:id="104"/>
      <w:r w:rsidRPr="5D4249CE">
        <w:rPr>
          <w:rFonts w:ascii="Arial Narrow" w:hAnsi="Arial Narrow"/>
        </w:rPr>
        <w:t>. Net water availability per year in mm.</w:t>
      </w:r>
      <w:bookmarkEnd w:id="105"/>
    </w:p>
    <w:p w14:paraId="173D7400" w14:textId="21B98714" w:rsidR="0087464A" w:rsidRDefault="0087464A" w:rsidP="0087464A">
      <w:pPr>
        <w:pStyle w:val="BodyText"/>
        <w:rPr>
          <w:rFonts w:ascii="Arial Narrow" w:hAnsi="Arial Narrow"/>
        </w:rPr>
      </w:pPr>
      <w:r>
        <w:rPr>
          <w:rFonts w:ascii="Arial Narrow" w:hAnsi="Arial Narrow"/>
        </w:rPr>
        <w:t>Alt. text. Horizontal bar chart showing n</w:t>
      </w:r>
      <w:r w:rsidRPr="00AF309D">
        <w:rPr>
          <w:rFonts w:ascii="Arial Narrow" w:hAnsi="Arial Narrow"/>
        </w:rPr>
        <w:t>et water availability per year in mm</w:t>
      </w:r>
      <w:r>
        <w:rPr>
          <w:rFonts w:ascii="Arial Narrow" w:hAnsi="Arial Narrow"/>
        </w:rPr>
        <w:t xml:space="preserve"> for 2013 to 2024 starting with 2024 at the top.</w:t>
      </w:r>
    </w:p>
    <w:p w14:paraId="3221DC9C" w14:textId="77EFF88F" w:rsidR="008074CE" w:rsidRPr="009D558C" w:rsidRDefault="00FF2B27" w:rsidP="00FF2B27">
      <w:pPr>
        <w:pStyle w:val="BodyText"/>
      </w:pPr>
      <w:r>
        <w:t>Overall, Pohnpei’s water balance highlights the island’s strong hydrologic resilience, substantial natural water storage, and consistently positive annual surplus. At the same time, dependence on surface‑water intakes makes the island sensitive to turbidity during intense rainfall and to short‑lived deficits during drought conditions. Understanding these dynamics is essential for guiding watershed protection, storage strategies, and infrastructure planning across the island.</w:t>
      </w:r>
    </w:p>
    <w:p w14:paraId="0A6EE85E" w14:textId="77777777" w:rsidR="00E619B6" w:rsidRDefault="00E619B6" w:rsidP="00E619B6">
      <w:pPr>
        <w:pStyle w:val="Head3"/>
      </w:pPr>
      <w:bookmarkStart w:id="106" w:name="_Toc228288443"/>
      <w:r w:rsidRPr="004836C2">
        <w:t>Drought Monitoring</w:t>
      </w:r>
      <w:bookmarkEnd w:id="106"/>
    </w:p>
    <w:p w14:paraId="5BD525B4" w14:textId="77777777" w:rsidR="00E619B6" w:rsidRDefault="00E619B6" w:rsidP="00E619B6">
      <w:pPr>
        <w:rPr>
          <w:rFonts w:ascii="Arial" w:hAnsi="Arial" w:cs="Arial"/>
          <w:i/>
          <w:iCs/>
          <w:sz w:val="22"/>
          <w:szCs w:val="22"/>
        </w:rPr>
      </w:pPr>
      <w:r w:rsidRPr="00E86A5D">
        <w:rPr>
          <w:rFonts w:ascii="Arial" w:hAnsi="Arial" w:cs="Arial"/>
          <w:i/>
          <w:iCs/>
          <w:sz w:val="22"/>
          <w:szCs w:val="22"/>
        </w:rPr>
        <w:t xml:space="preserve">Rainfall Index </w:t>
      </w:r>
    </w:p>
    <w:p w14:paraId="19F40CFA" w14:textId="558CA709" w:rsidR="00720621" w:rsidRDefault="00720621" w:rsidP="00CE0F2C">
      <w:r>
        <w:t xml:space="preserve">The Pohnpei Rainfall Index time </w:t>
      </w:r>
      <w:r w:rsidRPr="00661849">
        <w:rPr>
          <w:rFonts w:cs="Times New Roman"/>
        </w:rPr>
        <w:t>series (</w:t>
      </w:r>
      <w:r w:rsidR="00661849" w:rsidRPr="00661849">
        <w:rPr>
          <w:rFonts w:cs="Times New Roman"/>
        </w:rPr>
        <w:fldChar w:fldCharType="begin"/>
      </w:r>
      <w:r w:rsidR="00661849" w:rsidRPr="00661849">
        <w:rPr>
          <w:rFonts w:cs="Times New Roman"/>
        </w:rPr>
        <w:instrText xml:space="preserve"> REF _Ref227363781 \h </w:instrText>
      </w:r>
      <w:r w:rsidR="00661849">
        <w:rPr>
          <w:rFonts w:cs="Times New Roman"/>
        </w:rPr>
        <w:instrText xml:space="preserve"> \* MERGEFORMAT </w:instrText>
      </w:r>
      <w:r w:rsidR="00661849" w:rsidRPr="00661849">
        <w:rPr>
          <w:rFonts w:cs="Times New Roman"/>
        </w:rPr>
      </w:r>
      <w:r w:rsidR="00661849" w:rsidRPr="00661849">
        <w:rPr>
          <w:rFonts w:cs="Times New Roman"/>
        </w:rPr>
        <w:fldChar w:fldCharType="separate"/>
      </w:r>
      <w:r w:rsidR="00244816" w:rsidRPr="00244816">
        <w:rPr>
          <w:rFonts w:cs="Times New Roman"/>
        </w:rPr>
        <w:t xml:space="preserve">Figure </w:t>
      </w:r>
      <w:r w:rsidR="00244816" w:rsidRPr="00244816">
        <w:rPr>
          <w:rFonts w:cs="Times New Roman"/>
          <w:noProof/>
        </w:rPr>
        <w:t>23</w:t>
      </w:r>
      <w:r w:rsidR="00661849" w:rsidRPr="00661849">
        <w:rPr>
          <w:rFonts w:cs="Times New Roman"/>
        </w:rPr>
        <w:fldChar w:fldCharType="end"/>
      </w:r>
      <w:r w:rsidRPr="00661849">
        <w:rPr>
          <w:rFonts w:cs="Times New Roman"/>
        </w:rPr>
        <w:t>) shows</w:t>
      </w:r>
      <w:r>
        <w:t xml:space="preserve"> Drier classifications in 63 of 314 months (20 percent) and Dry in 64 months (20 percent) at the 1-month timescale. The PEAC index classified only 10 months as Red and 60 as Yellow</w:t>
      </w:r>
      <w:r w:rsidR="00914DE5">
        <w:t xml:space="preserve">. These are </w:t>
      </w:r>
      <w:r>
        <w:t>substantially fewer than Yap or Weno</w:t>
      </w:r>
      <w:r w:rsidR="00914DE5">
        <w:t xml:space="preserve">, </w:t>
      </w:r>
      <w:r>
        <w:t>reflecting the high absolute rainfall at this site. At the 6-month timescale, Drier (65 months) and Dry (64 months) together comprise 41 percent of observations, indicating that cumulative deficits do occur despite the high baseline rainfall.</w:t>
      </w:r>
    </w:p>
    <w:p w14:paraId="61309700" w14:textId="77777777" w:rsidR="00720621" w:rsidRDefault="00720621" w:rsidP="00720621">
      <w:pPr>
        <w:keepNext/>
        <w:spacing w:before="160" w:after="60"/>
      </w:pPr>
      <w:r>
        <w:rPr>
          <w:noProof/>
        </w:rPr>
        <w:drawing>
          <wp:inline distT="0" distB="0" distL="0" distR="0" wp14:anchorId="218DC907" wp14:editId="5765D1E8">
            <wp:extent cx="5715000" cy="4953000"/>
            <wp:effectExtent l="0" t="0" r="0" b="0"/>
            <wp:docPr id="118989067" name="Pohnpei RI Time Series" descr="Three-panel quintile-based Rainfall Index time series for Pohnpei." title="Pohnpei RI Time Seri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33"/>
                    <a:srcRect/>
                    <a:stretch>
                      <a:fillRect/>
                    </a:stretch>
                  </pic:blipFill>
                  <pic:spPr bwMode="auto">
                    <a:xfrm>
                      <a:off x="0" y="0"/>
                      <a:ext cx="5715000" cy="4953000"/>
                    </a:xfrm>
                    <a:prstGeom prst="rect">
                      <a:avLst/>
                    </a:prstGeom>
                  </pic:spPr>
                </pic:pic>
              </a:graphicData>
            </a:graphic>
          </wp:inline>
        </w:drawing>
      </w:r>
    </w:p>
    <w:p w14:paraId="42A29A87" w14:textId="4CA38E06" w:rsidR="00720621" w:rsidRPr="0014420F" w:rsidRDefault="00720621" w:rsidP="00720621">
      <w:pPr>
        <w:pStyle w:val="Caption"/>
        <w:rPr>
          <w:rFonts w:ascii="Arial Narrow" w:hAnsi="Arial Narrow"/>
        </w:rPr>
      </w:pPr>
      <w:bookmarkStart w:id="107" w:name="_Ref227363781"/>
      <w:bookmarkStart w:id="108" w:name="_Toc227410295"/>
      <w:r w:rsidRPr="0014420F">
        <w:rPr>
          <w:rFonts w:ascii="Arial Narrow" w:hAnsi="Arial Narrow"/>
        </w:rPr>
        <w:t xml:space="preserve">Figure </w:t>
      </w:r>
      <w:r w:rsidRPr="0014420F">
        <w:rPr>
          <w:rFonts w:ascii="Arial Narrow" w:hAnsi="Arial Narrow"/>
        </w:rPr>
        <w:fldChar w:fldCharType="begin"/>
      </w:r>
      <w:r w:rsidRPr="0014420F">
        <w:rPr>
          <w:rFonts w:ascii="Arial Narrow" w:hAnsi="Arial Narrow"/>
        </w:rPr>
        <w:instrText xml:space="preserve"> SEQ Figure \* ARABIC </w:instrText>
      </w:r>
      <w:r w:rsidRPr="0014420F">
        <w:rPr>
          <w:rFonts w:ascii="Arial Narrow" w:hAnsi="Arial Narrow"/>
        </w:rPr>
        <w:fldChar w:fldCharType="separate"/>
      </w:r>
      <w:r w:rsidR="00244816">
        <w:rPr>
          <w:rFonts w:ascii="Arial Narrow" w:hAnsi="Arial Narrow"/>
          <w:noProof/>
        </w:rPr>
        <w:t>23</w:t>
      </w:r>
      <w:r w:rsidRPr="0014420F">
        <w:rPr>
          <w:rFonts w:ascii="Arial Narrow" w:hAnsi="Arial Narrow"/>
        </w:rPr>
        <w:fldChar w:fldCharType="end"/>
      </w:r>
      <w:bookmarkEnd w:id="107"/>
      <w:r w:rsidRPr="0014420F">
        <w:rPr>
          <w:rFonts w:ascii="Arial Narrow" w:hAnsi="Arial Narrow"/>
        </w:rPr>
        <w:t>. Quintile-based Rainfall Index time series for Pohnpei showing (A) 1-month, (B) 3-month, and (C) 6-month accumulation windows.</w:t>
      </w:r>
      <w:bookmarkEnd w:id="108"/>
    </w:p>
    <w:p w14:paraId="0B6486B8" w14:textId="77777777" w:rsidR="00E619B6" w:rsidRDefault="00E619B6" w:rsidP="00E619B6">
      <w:pPr>
        <w:spacing w:before="240" w:after="0"/>
        <w:rPr>
          <w:rFonts w:ascii="Arial" w:hAnsi="Arial" w:cs="Arial"/>
          <w:i/>
          <w:iCs/>
          <w:sz w:val="22"/>
          <w:szCs w:val="22"/>
        </w:rPr>
      </w:pPr>
      <w:r w:rsidRPr="004C2480">
        <w:rPr>
          <w:rFonts w:ascii="Arial" w:hAnsi="Arial" w:cs="Arial"/>
          <w:i/>
          <w:iCs/>
          <w:sz w:val="22"/>
          <w:szCs w:val="22"/>
        </w:rPr>
        <w:t>Notable Drought Episodes</w:t>
      </w:r>
    </w:p>
    <w:p w14:paraId="24A5DF11" w14:textId="1C729205" w:rsidR="004F0B7A" w:rsidRDefault="00125998" w:rsidP="00600522">
      <w:r>
        <w:t xml:space="preserve">The most significant drought at Pohnpei occurred from February through May 2016, when </w:t>
      </w:r>
      <w:r w:rsidR="007432E1">
        <w:t>four</w:t>
      </w:r>
      <w:r>
        <w:t xml:space="preserve"> consecutive months were classified as Drier or Dry, with 3 in the Drier category. The 3-month and 6-month windows both showed Drier classifications for all 4 months. The PEAC index classified 2 months as Red during this period, with a minimum monthly precipitation of 44.0 m</w:t>
      </w:r>
      <w:r w:rsidR="00981275">
        <w:t>m</w:t>
      </w:r>
      <w:r w:rsidR="00911326">
        <w:t>, which is a very</w:t>
      </w:r>
      <w:r>
        <w:t xml:space="preserve"> low value for this normally wet location. This event is part of the same 2015–2016 regional drought observed across the FSM.</w:t>
      </w:r>
    </w:p>
    <w:p w14:paraId="0A6B584F" w14:textId="7315D6AC" w:rsidR="00125998" w:rsidRDefault="00125998" w:rsidP="00600522">
      <w:pPr>
        <w:ind w:firstLine="720"/>
      </w:pPr>
      <w:r>
        <w:t>Additional episodes include February through May 2006 (4 months, 2 Drier at 1-month, Drier persisting through 3-month and 6-month windows); May through August 2013 (4 months, 2 Drier, 4 Drier at 3-month, 4 Drier at 6-month); and January through March 2020 (3 months, all 3 Drier, 2 PEAC-Red, minimum 87.2 m</w:t>
      </w:r>
      <w:r w:rsidR="00F14C81">
        <w:t>m</w:t>
      </w:r>
      <w:r>
        <w:t>). Compared to Yap and Weno, Pohnpei’s drought episodes are generally shorter in duration and are accompanied by fewer PEAC-Red months, reflecting the higher absolute rainfall baseline.</w:t>
      </w:r>
    </w:p>
    <w:p w14:paraId="40D68A32" w14:textId="5FFBBCB0" w:rsidR="00F14C81" w:rsidRPr="00F14C81" w:rsidRDefault="00F14C81" w:rsidP="00F14C81">
      <w:pPr>
        <w:pStyle w:val="Caption"/>
        <w:keepNext/>
        <w:rPr>
          <w:rFonts w:ascii="Arial Narrow" w:hAnsi="Arial Narrow"/>
          <w:szCs w:val="24"/>
        </w:rPr>
      </w:pPr>
      <w:bookmarkStart w:id="109" w:name="_Toc228288466"/>
      <w:r w:rsidRPr="00F14C81">
        <w:rPr>
          <w:rFonts w:ascii="Arial Narrow" w:hAnsi="Arial Narrow"/>
          <w:szCs w:val="24"/>
        </w:rPr>
        <w:t xml:space="preserve">Table </w:t>
      </w:r>
      <w:r w:rsidRPr="00F14C81">
        <w:rPr>
          <w:rFonts w:ascii="Arial Narrow" w:hAnsi="Arial Narrow"/>
          <w:szCs w:val="24"/>
        </w:rPr>
        <w:fldChar w:fldCharType="begin"/>
      </w:r>
      <w:r w:rsidRPr="00F14C81">
        <w:rPr>
          <w:rFonts w:ascii="Arial Narrow" w:hAnsi="Arial Narrow"/>
          <w:szCs w:val="24"/>
        </w:rPr>
        <w:instrText xml:space="preserve"> SEQ Table \* ARABIC </w:instrText>
      </w:r>
      <w:r w:rsidRPr="00F14C81">
        <w:rPr>
          <w:rFonts w:ascii="Arial Narrow" w:hAnsi="Arial Narrow"/>
          <w:szCs w:val="24"/>
        </w:rPr>
        <w:fldChar w:fldCharType="separate"/>
      </w:r>
      <w:r w:rsidR="00244816">
        <w:rPr>
          <w:rFonts w:ascii="Arial Narrow" w:hAnsi="Arial Narrow"/>
          <w:noProof/>
          <w:szCs w:val="24"/>
        </w:rPr>
        <w:t>6</w:t>
      </w:r>
      <w:r w:rsidRPr="00F14C81">
        <w:rPr>
          <w:rFonts w:ascii="Arial Narrow" w:hAnsi="Arial Narrow"/>
          <w:szCs w:val="24"/>
        </w:rPr>
        <w:fldChar w:fldCharType="end"/>
      </w:r>
      <w:r w:rsidRPr="00F14C81">
        <w:rPr>
          <w:rFonts w:ascii="Arial Narrow" w:hAnsi="Arial Narrow"/>
          <w:szCs w:val="24"/>
        </w:rPr>
        <w:t>. Summary of notable drought episodes at Pohnpei.</w:t>
      </w:r>
      <w:bookmarkEnd w:id="109"/>
    </w:p>
    <w:tbl>
      <w:tblPr>
        <w:tblStyle w:val="TableGrid"/>
        <w:tblW w:w="9360" w:type="dxa"/>
        <w:tblLook w:val="04A0" w:firstRow="1" w:lastRow="0" w:firstColumn="1" w:lastColumn="0" w:noHBand="0" w:noVBand="1"/>
      </w:tblPr>
      <w:tblGrid>
        <w:gridCol w:w="2155"/>
        <w:gridCol w:w="1645"/>
        <w:gridCol w:w="1800"/>
        <w:gridCol w:w="1800"/>
        <w:gridCol w:w="1960"/>
      </w:tblGrid>
      <w:tr w:rsidR="00125998" w:rsidRPr="00F14C81" w14:paraId="7DA42730" w14:textId="77777777" w:rsidTr="00192704">
        <w:tc>
          <w:tcPr>
            <w:tcW w:w="2155" w:type="dxa"/>
          </w:tcPr>
          <w:p w14:paraId="53278CF7" w14:textId="77777777" w:rsidR="00125998" w:rsidRPr="00F14C81" w:rsidRDefault="00125998">
            <w:pPr>
              <w:rPr>
                <w:rFonts w:ascii="Arial Narrow" w:hAnsi="Arial Narrow"/>
              </w:rPr>
            </w:pPr>
            <w:r w:rsidRPr="00F14C81">
              <w:rPr>
                <w:rFonts w:ascii="Arial Narrow" w:hAnsi="Arial Narrow"/>
                <w:b/>
                <w:bCs/>
              </w:rPr>
              <w:t>Episode</w:t>
            </w:r>
          </w:p>
        </w:tc>
        <w:tc>
          <w:tcPr>
            <w:tcW w:w="1645" w:type="dxa"/>
          </w:tcPr>
          <w:p w14:paraId="2F57B766" w14:textId="77777777" w:rsidR="00125998" w:rsidRPr="00F14C81" w:rsidRDefault="00125998">
            <w:pPr>
              <w:rPr>
                <w:rFonts w:ascii="Arial Narrow" w:hAnsi="Arial Narrow"/>
              </w:rPr>
            </w:pPr>
            <w:r w:rsidRPr="00F14C81">
              <w:rPr>
                <w:rFonts w:ascii="Arial Narrow" w:hAnsi="Arial Narrow"/>
                <w:b/>
                <w:bCs/>
              </w:rPr>
              <w:t>Duration (months)</w:t>
            </w:r>
          </w:p>
        </w:tc>
        <w:tc>
          <w:tcPr>
            <w:tcW w:w="1800" w:type="dxa"/>
          </w:tcPr>
          <w:p w14:paraId="53238B76" w14:textId="77777777" w:rsidR="00125998" w:rsidRPr="00F14C81" w:rsidRDefault="00125998">
            <w:pPr>
              <w:rPr>
                <w:rFonts w:ascii="Arial Narrow" w:hAnsi="Arial Narrow"/>
              </w:rPr>
            </w:pPr>
            <w:r w:rsidRPr="00F14C81">
              <w:rPr>
                <w:rFonts w:ascii="Arial Narrow" w:hAnsi="Arial Narrow"/>
                <w:b/>
                <w:bCs/>
              </w:rPr>
              <w:t>Drier Months (1-mo)</w:t>
            </w:r>
          </w:p>
        </w:tc>
        <w:tc>
          <w:tcPr>
            <w:tcW w:w="1800" w:type="dxa"/>
          </w:tcPr>
          <w:p w14:paraId="15AA0BAE" w14:textId="77777777" w:rsidR="00125998" w:rsidRPr="00F14C81" w:rsidRDefault="00125998">
            <w:pPr>
              <w:rPr>
                <w:rFonts w:ascii="Arial Narrow" w:hAnsi="Arial Narrow"/>
              </w:rPr>
            </w:pPr>
            <w:r w:rsidRPr="00F14C81">
              <w:rPr>
                <w:rFonts w:ascii="Arial Narrow" w:hAnsi="Arial Narrow"/>
                <w:b/>
                <w:bCs/>
              </w:rPr>
              <w:t>PEAC-Red Months</w:t>
            </w:r>
          </w:p>
        </w:tc>
        <w:tc>
          <w:tcPr>
            <w:tcW w:w="1960" w:type="dxa"/>
          </w:tcPr>
          <w:p w14:paraId="378ED593" w14:textId="77777777" w:rsidR="00125998" w:rsidRPr="00F14C81" w:rsidRDefault="00125998">
            <w:pPr>
              <w:rPr>
                <w:rFonts w:ascii="Arial Narrow" w:hAnsi="Arial Narrow"/>
              </w:rPr>
            </w:pPr>
            <w:r w:rsidRPr="00F14C81">
              <w:rPr>
                <w:rFonts w:ascii="Arial Narrow" w:hAnsi="Arial Narrow"/>
                <w:b/>
                <w:bCs/>
              </w:rPr>
              <w:t>Min Precip. (mm)</w:t>
            </w:r>
          </w:p>
        </w:tc>
      </w:tr>
      <w:tr w:rsidR="00125998" w:rsidRPr="00F14C81" w14:paraId="2F469FC8" w14:textId="77777777" w:rsidTr="00192704">
        <w:tc>
          <w:tcPr>
            <w:tcW w:w="2155" w:type="dxa"/>
          </w:tcPr>
          <w:p w14:paraId="1D8064E2" w14:textId="77777777" w:rsidR="00125998" w:rsidRPr="00F14C81" w:rsidRDefault="00125998">
            <w:pPr>
              <w:rPr>
                <w:rFonts w:ascii="Arial Narrow" w:hAnsi="Arial Narrow"/>
              </w:rPr>
            </w:pPr>
            <w:r w:rsidRPr="00F14C81">
              <w:rPr>
                <w:rFonts w:ascii="Arial Narrow" w:hAnsi="Arial Narrow"/>
              </w:rPr>
              <w:t>Feb 2016 – May 2016</w:t>
            </w:r>
          </w:p>
        </w:tc>
        <w:tc>
          <w:tcPr>
            <w:tcW w:w="1645" w:type="dxa"/>
          </w:tcPr>
          <w:p w14:paraId="61AB0319" w14:textId="77777777" w:rsidR="00125998" w:rsidRPr="00F14C81" w:rsidRDefault="00125998">
            <w:pPr>
              <w:rPr>
                <w:rFonts w:ascii="Arial Narrow" w:hAnsi="Arial Narrow"/>
              </w:rPr>
            </w:pPr>
            <w:r w:rsidRPr="00F14C81">
              <w:rPr>
                <w:rFonts w:ascii="Arial Narrow" w:hAnsi="Arial Narrow"/>
              </w:rPr>
              <w:t>4</w:t>
            </w:r>
          </w:p>
        </w:tc>
        <w:tc>
          <w:tcPr>
            <w:tcW w:w="1800" w:type="dxa"/>
          </w:tcPr>
          <w:p w14:paraId="78A2BD7B" w14:textId="77777777" w:rsidR="00125998" w:rsidRPr="00F14C81" w:rsidRDefault="00125998">
            <w:pPr>
              <w:rPr>
                <w:rFonts w:ascii="Arial Narrow" w:hAnsi="Arial Narrow"/>
              </w:rPr>
            </w:pPr>
            <w:r w:rsidRPr="00F14C81">
              <w:rPr>
                <w:rFonts w:ascii="Arial Narrow" w:hAnsi="Arial Narrow"/>
              </w:rPr>
              <w:t>3</w:t>
            </w:r>
          </w:p>
        </w:tc>
        <w:tc>
          <w:tcPr>
            <w:tcW w:w="1800" w:type="dxa"/>
          </w:tcPr>
          <w:p w14:paraId="164C0B00" w14:textId="77777777" w:rsidR="00125998" w:rsidRPr="00F14C81" w:rsidRDefault="00125998">
            <w:pPr>
              <w:rPr>
                <w:rFonts w:ascii="Arial Narrow" w:hAnsi="Arial Narrow"/>
              </w:rPr>
            </w:pPr>
            <w:r w:rsidRPr="00F14C81">
              <w:rPr>
                <w:rFonts w:ascii="Arial Narrow" w:hAnsi="Arial Narrow"/>
              </w:rPr>
              <w:t>2</w:t>
            </w:r>
          </w:p>
        </w:tc>
        <w:tc>
          <w:tcPr>
            <w:tcW w:w="1960" w:type="dxa"/>
          </w:tcPr>
          <w:p w14:paraId="7E4EC774" w14:textId="77777777" w:rsidR="00125998" w:rsidRPr="00F14C81" w:rsidRDefault="00125998">
            <w:pPr>
              <w:rPr>
                <w:rFonts w:ascii="Arial Narrow" w:hAnsi="Arial Narrow"/>
              </w:rPr>
            </w:pPr>
            <w:r w:rsidRPr="00F14C81">
              <w:rPr>
                <w:rFonts w:ascii="Arial Narrow" w:hAnsi="Arial Narrow"/>
              </w:rPr>
              <w:t>44.0</w:t>
            </w:r>
          </w:p>
        </w:tc>
      </w:tr>
      <w:tr w:rsidR="00125998" w:rsidRPr="00F14C81" w14:paraId="706A2B32" w14:textId="77777777" w:rsidTr="00192704">
        <w:tc>
          <w:tcPr>
            <w:tcW w:w="2155" w:type="dxa"/>
          </w:tcPr>
          <w:p w14:paraId="436C9233" w14:textId="77777777" w:rsidR="00125998" w:rsidRPr="00F14C81" w:rsidRDefault="00125998">
            <w:pPr>
              <w:rPr>
                <w:rFonts w:ascii="Arial Narrow" w:hAnsi="Arial Narrow"/>
              </w:rPr>
            </w:pPr>
            <w:r w:rsidRPr="00F14C81">
              <w:rPr>
                <w:rFonts w:ascii="Arial Narrow" w:hAnsi="Arial Narrow"/>
              </w:rPr>
              <w:t>Feb 2006 – May 2006</w:t>
            </w:r>
          </w:p>
        </w:tc>
        <w:tc>
          <w:tcPr>
            <w:tcW w:w="1645" w:type="dxa"/>
          </w:tcPr>
          <w:p w14:paraId="37318080" w14:textId="77777777" w:rsidR="00125998" w:rsidRPr="00F14C81" w:rsidRDefault="00125998">
            <w:pPr>
              <w:rPr>
                <w:rFonts w:ascii="Arial Narrow" w:hAnsi="Arial Narrow"/>
              </w:rPr>
            </w:pPr>
            <w:r w:rsidRPr="00F14C81">
              <w:rPr>
                <w:rFonts w:ascii="Arial Narrow" w:hAnsi="Arial Narrow"/>
              </w:rPr>
              <w:t>4</w:t>
            </w:r>
          </w:p>
        </w:tc>
        <w:tc>
          <w:tcPr>
            <w:tcW w:w="1800" w:type="dxa"/>
          </w:tcPr>
          <w:p w14:paraId="011B7D67" w14:textId="77777777" w:rsidR="00125998" w:rsidRPr="00F14C81" w:rsidRDefault="00125998">
            <w:pPr>
              <w:rPr>
                <w:rFonts w:ascii="Arial Narrow" w:hAnsi="Arial Narrow"/>
              </w:rPr>
            </w:pPr>
            <w:r w:rsidRPr="00F14C81">
              <w:rPr>
                <w:rFonts w:ascii="Arial Narrow" w:hAnsi="Arial Narrow"/>
              </w:rPr>
              <w:t>2</w:t>
            </w:r>
          </w:p>
        </w:tc>
        <w:tc>
          <w:tcPr>
            <w:tcW w:w="1800" w:type="dxa"/>
          </w:tcPr>
          <w:p w14:paraId="16A69629" w14:textId="77777777" w:rsidR="00125998" w:rsidRPr="00F14C81" w:rsidRDefault="00125998">
            <w:pPr>
              <w:rPr>
                <w:rFonts w:ascii="Arial Narrow" w:hAnsi="Arial Narrow"/>
              </w:rPr>
            </w:pPr>
            <w:r w:rsidRPr="00F14C81">
              <w:rPr>
                <w:rFonts w:ascii="Arial Narrow" w:hAnsi="Arial Narrow"/>
              </w:rPr>
              <w:t>0</w:t>
            </w:r>
          </w:p>
        </w:tc>
        <w:tc>
          <w:tcPr>
            <w:tcW w:w="1960" w:type="dxa"/>
          </w:tcPr>
          <w:p w14:paraId="0FDB7026" w14:textId="77777777" w:rsidR="00125998" w:rsidRPr="00F14C81" w:rsidRDefault="00125998">
            <w:pPr>
              <w:rPr>
                <w:rFonts w:ascii="Arial Narrow" w:hAnsi="Arial Narrow"/>
              </w:rPr>
            </w:pPr>
            <w:r w:rsidRPr="00F14C81">
              <w:rPr>
                <w:rFonts w:ascii="Arial Narrow" w:hAnsi="Arial Narrow"/>
              </w:rPr>
              <w:t>141.2</w:t>
            </w:r>
          </w:p>
        </w:tc>
      </w:tr>
      <w:tr w:rsidR="00125998" w:rsidRPr="00F14C81" w14:paraId="71086C82" w14:textId="77777777" w:rsidTr="00192704">
        <w:tc>
          <w:tcPr>
            <w:tcW w:w="2155" w:type="dxa"/>
          </w:tcPr>
          <w:p w14:paraId="34080700" w14:textId="77777777" w:rsidR="00125998" w:rsidRPr="00F14C81" w:rsidRDefault="00125998">
            <w:pPr>
              <w:rPr>
                <w:rFonts w:ascii="Arial Narrow" w:hAnsi="Arial Narrow"/>
              </w:rPr>
            </w:pPr>
            <w:r w:rsidRPr="00F14C81">
              <w:rPr>
                <w:rFonts w:ascii="Arial Narrow" w:hAnsi="Arial Narrow"/>
              </w:rPr>
              <w:t>May 2013 – Aug 2013</w:t>
            </w:r>
          </w:p>
        </w:tc>
        <w:tc>
          <w:tcPr>
            <w:tcW w:w="1645" w:type="dxa"/>
          </w:tcPr>
          <w:p w14:paraId="3301678A" w14:textId="77777777" w:rsidR="00125998" w:rsidRPr="00F14C81" w:rsidRDefault="00125998">
            <w:pPr>
              <w:rPr>
                <w:rFonts w:ascii="Arial Narrow" w:hAnsi="Arial Narrow"/>
              </w:rPr>
            </w:pPr>
            <w:r w:rsidRPr="00F14C81">
              <w:rPr>
                <w:rFonts w:ascii="Arial Narrow" w:hAnsi="Arial Narrow"/>
              </w:rPr>
              <w:t>4</w:t>
            </w:r>
          </w:p>
        </w:tc>
        <w:tc>
          <w:tcPr>
            <w:tcW w:w="1800" w:type="dxa"/>
          </w:tcPr>
          <w:p w14:paraId="57EDD91F" w14:textId="77777777" w:rsidR="00125998" w:rsidRPr="00F14C81" w:rsidRDefault="00125998">
            <w:pPr>
              <w:rPr>
                <w:rFonts w:ascii="Arial Narrow" w:hAnsi="Arial Narrow"/>
              </w:rPr>
            </w:pPr>
            <w:r w:rsidRPr="00F14C81">
              <w:rPr>
                <w:rFonts w:ascii="Arial Narrow" w:hAnsi="Arial Narrow"/>
              </w:rPr>
              <w:t>2</w:t>
            </w:r>
          </w:p>
        </w:tc>
        <w:tc>
          <w:tcPr>
            <w:tcW w:w="1800" w:type="dxa"/>
          </w:tcPr>
          <w:p w14:paraId="5AAF58BF" w14:textId="77777777" w:rsidR="00125998" w:rsidRPr="00F14C81" w:rsidRDefault="00125998">
            <w:pPr>
              <w:rPr>
                <w:rFonts w:ascii="Arial Narrow" w:hAnsi="Arial Narrow"/>
              </w:rPr>
            </w:pPr>
            <w:r w:rsidRPr="00F14C81">
              <w:rPr>
                <w:rFonts w:ascii="Arial Narrow" w:hAnsi="Arial Narrow"/>
              </w:rPr>
              <w:t>0</w:t>
            </w:r>
          </w:p>
        </w:tc>
        <w:tc>
          <w:tcPr>
            <w:tcW w:w="1960" w:type="dxa"/>
          </w:tcPr>
          <w:p w14:paraId="13EC731A" w14:textId="77777777" w:rsidR="00125998" w:rsidRPr="00F14C81" w:rsidRDefault="00125998">
            <w:pPr>
              <w:rPr>
                <w:rFonts w:ascii="Arial Narrow" w:hAnsi="Arial Narrow"/>
              </w:rPr>
            </w:pPr>
            <w:r w:rsidRPr="00F14C81">
              <w:rPr>
                <w:rFonts w:ascii="Arial Narrow" w:hAnsi="Arial Narrow"/>
              </w:rPr>
              <w:t>140.8</w:t>
            </w:r>
          </w:p>
        </w:tc>
      </w:tr>
      <w:tr w:rsidR="00125998" w:rsidRPr="00F14C81" w14:paraId="3F5C3F2F" w14:textId="77777777" w:rsidTr="00192704">
        <w:tc>
          <w:tcPr>
            <w:tcW w:w="2155" w:type="dxa"/>
          </w:tcPr>
          <w:p w14:paraId="6B379CAD" w14:textId="77777777" w:rsidR="00125998" w:rsidRPr="00F14C81" w:rsidRDefault="00125998">
            <w:pPr>
              <w:rPr>
                <w:rFonts w:ascii="Arial Narrow" w:hAnsi="Arial Narrow"/>
              </w:rPr>
            </w:pPr>
            <w:r w:rsidRPr="00F14C81">
              <w:rPr>
                <w:rFonts w:ascii="Arial Narrow" w:hAnsi="Arial Narrow"/>
              </w:rPr>
              <w:t>Jan 2020 – Mar 2020</w:t>
            </w:r>
          </w:p>
        </w:tc>
        <w:tc>
          <w:tcPr>
            <w:tcW w:w="1645" w:type="dxa"/>
          </w:tcPr>
          <w:p w14:paraId="4F8296F4" w14:textId="77777777" w:rsidR="00125998" w:rsidRPr="00F14C81" w:rsidRDefault="00125998">
            <w:pPr>
              <w:rPr>
                <w:rFonts w:ascii="Arial Narrow" w:hAnsi="Arial Narrow"/>
              </w:rPr>
            </w:pPr>
            <w:r w:rsidRPr="00F14C81">
              <w:rPr>
                <w:rFonts w:ascii="Arial Narrow" w:hAnsi="Arial Narrow"/>
              </w:rPr>
              <w:t>3</w:t>
            </w:r>
          </w:p>
        </w:tc>
        <w:tc>
          <w:tcPr>
            <w:tcW w:w="1800" w:type="dxa"/>
          </w:tcPr>
          <w:p w14:paraId="5FE5DD17" w14:textId="77777777" w:rsidR="00125998" w:rsidRPr="00F14C81" w:rsidRDefault="00125998">
            <w:pPr>
              <w:rPr>
                <w:rFonts w:ascii="Arial Narrow" w:hAnsi="Arial Narrow"/>
              </w:rPr>
            </w:pPr>
            <w:r w:rsidRPr="00F14C81">
              <w:rPr>
                <w:rFonts w:ascii="Arial Narrow" w:hAnsi="Arial Narrow"/>
              </w:rPr>
              <w:t>3</w:t>
            </w:r>
          </w:p>
        </w:tc>
        <w:tc>
          <w:tcPr>
            <w:tcW w:w="1800" w:type="dxa"/>
          </w:tcPr>
          <w:p w14:paraId="105F9C04" w14:textId="77777777" w:rsidR="00125998" w:rsidRPr="00F14C81" w:rsidRDefault="00125998">
            <w:pPr>
              <w:rPr>
                <w:rFonts w:ascii="Arial Narrow" w:hAnsi="Arial Narrow"/>
              </w:rPr>
            </w:pPr>
            <w:r w:rsidRPr="00F14C81">
              <w:rPr>
                <w:rFonts w:ascii="Arial Narrow" w:hAnsi="Arial Narrow"/>
              </w:rPr>
              <w:t>2</w:t>
            </w:r>
          </w:p>
        </w:tc>
        <w:tc>
          <w:tcPr>
            <w:tcW w:w="1960" w:type="dxa"/>
          </w:tcPr>
          <w:p w14:paraId="3EF10511" w14:textId="77777777" w:rsidR="00125998" w:rsidRPr="00F14C81" w:rsidRDefault="00125998">
            <w:pPr>
              <w:rPr>
                <w:rFonts w:ascii="Arial Narrow" w:hAnsi="Arial Narrow"/>
              </w:rPr>
            </w:pPr>
            <w:r w:rsidRPr="00F14C81">
              <w:rPr>
                <w:rFonts w:ascii="Arial Narrow" w:hAnsi="Arial Narrow"/>
              </w:rPr>
              <w:t>87.2</w:t>
            </w:r>
          </w:p>
        </w:tc>
      </w:tr>
      <w:tr w:rsidR="00125998" w:rsidRPr="00F14C81" w14:paraId="75717878" w14:textId="77777777" w:rsidTr="00192704">
        <w:tc>
          <w:tcPr>
            <w:tcW w:w="2155" w:type="dxa"/>
          </w:tcPr>
          <w:p w14:paraId="50F0B807" w14:textId="77777777" w:rsidR="00125998" w:rsidRPr="00F14C81" w:rsidRDefault="00125998">
            <w:pPr>
              <w:rPr>
                <w:rFonts w:ascii="Arial Narrow" w:hAnsi="Arial Narrow"/>
              </w:rPr>
            </w:pPr>
            <w:r w:rsidRPr="00F14C81">
              <w:rPr>
                <w:rFonts w:ascii="Arial Narrow" w:hAnsi="Arial Narrow"/>
              </w:rPr>
              <w:t>Jun 2007 – Sep 2007</w:t>
            </w:r>
          </w:p>
        </w:tc>
        <w:tc>
          <w:tcPr>
            <w:tcW w:w="1645" w:type="dxa"/>
          </w:tcPr>
          <w:p w14:paraId="3DD0C919" w14:textId="77777777" w:rsidR="00125998" w:rsidRPr="00F14C81" w:rsidRDefault="00125998">
            <w:pPr>
              <w:rPr>
                <w:rFonts w:ascii="Arial Narrow" w:hAnsi="Arial Narrow"/>
              </w:rPr>
            </w:pPr>
            <w:r w:rsidRPr="00F14C81">
              <w:rPr>
                <w:rFonts w:ascii="Arial Narrow" w:hAnsi="Arial Narrow"/>
              </w:rPr>
              <w:t>4</w:t>
            </w:r>
          </w:p>
        </w:tc>
        <w:tc>
          <w:tcPr>
            <w:tcW w:w="1800" w:type="dxa"/>
          </w:tcPr>
          <w:p w14:paraId="0DBF94C8" w14:textId="77777777" w:rsidR="00125998" w:rsidRPr="00F14C81" w:rsidRDefault="00125998">
            <w:pPr>
              <w:rPr>
                <w:rFonts w:ascii="Arial Narrow" w:hAnsi="Arial Narrow"/>
              </w:rPr>
            </w:pPr>
            <w:r w:rsidRPr="00F14C81">
              <w:rPr>
                <w:rFonts w:ascii="Arial Narrow" w:hAnsi="Arial Narrow"/>
              </w:rPr>
              <w:t>3</w:t>
            </w:r>
          </w:p>
        </w:tc>
        <w:tc>
          <w:tcPr>
            <w:tcW w:w="1800" w:type="dxa"/>
          </w:tcPr>
          <w:p w14:paraId="09BB8830" w14:textId="77777777" w:rsidR="00125998" w:rsidRPr="00F14C81" w:rsidRDefault="00125998">
            <w:pPr>
              <w:rPr>
                <w:rFonts w:ascii="Arial Narrow" w:hAnsi="Arial Narrow"/>
              </w:rPr>
            </w:pPr>
            <w:r w:rsidRPr="00F14C81">
              <w:rPr>
                <w:rFonts w:ascii="Arial Narrow" w:hAnsi="Arial Narrow"/>
              </w:rPr>
              <w:t>0</w:t>
            </w:r>
          </w:p>
        </w:tc>
        <w:tc>
          <w:tcPr>
            <w:tcW w:w="1960" w:type="dxa"/>
          </w:tcPr>
          <w:p w14:paraId="7A645082" w14:textId="77777777" w:rsidR="00125998" w:rsidRPr="00F14C81" w:rsidRDefault="00125998">
            <w:pPr>
              <w:rPr>
                <w:rFonts w:ascii="Arial Narrow" w:hAnsi="Arial Narrow"/>
              </w:rPr>
            </w:pPr>
            <w:r w:rsidRPr="00F14C81">
              <w:rPr>
                <w:rFonts w:ascii="Arial Narrow" w:hAnsi="Arial Narrow"/>
              </w:rPr>
              <w:t>190.8</w:t>
            </w:r>
          </w:p>
        </w:tc>
      </w:tr>
      <w:tr w:rsidR="00125998" w:rsidRPr="00F14C81" w14:paraId="71447C17" w14:textId="77777777" w:rsidTr="00192704">
        <w:tc>
          <w:tcPr>
            <w:tcW w:w="2155" w:type="dxa"/>
          </w:tcPr>
          <w:p w14:paraId="1D278D81" w14:textId="77777777" w:rsidR="00125998" w:rsidRPr="00F14C81" w:rsidRDefault="00125998">
            <w:pPr>
              <w:rPr>
                <w:rFonts w:ascii="Arial Narrow" w:hAnsi="Arial Narrow"/>
              </w:rPr>
            </w:pPr>
            <w:r w:rsidRPr="00F14C81">
              <w:rPr>
                <w:rFonts w:ascii="Arial Narrow" w:hAnsi="Arial Narrow"/>
              </w:rPr>
              <w:t>Oct 2015 – Dec 2015</w:t>
            </w:r>
          </w:p>
        </w:tc>
        <w:tc>
          <w:tcPr>
            <w:tcW w:w="1645" w:type="dxa"/>
          </w:tcPr>
          <w:p w14:paraId="116C55B9" w14:textId="77777777" w:rsidR="00125998" w:rsidRPr="00F14C81" w:rsidRDefault="00125998">
            <w:pPr>
              <w:rPr>
                <w:rFonts w:ascii="Arial Narrow" w:hAnsi="Arial Narrow"/>
              </w:rPr>
            </w:pPr>
            <w:r w:rsidRPr="00F14C81">
              <w:rPr>
                <w:rFonts w:ascii="Arial Narrow" w:hAnsi="Arial Narrow"/>
              </w:rPr>
              <w:t>3</w:t>
            </w:r>
          </w:p>
        </w:tc>
        <w:tc>
          <w:tcPr>
            <w:tcW w:w="1800" w:type="dxa"/>
          </w:tcPr>
          <w:p w14:paraId="0421551B" w14:textId="77777777" w:rsidR="00125998" w:rsidRPr="00F14C81" w:rsidRDefault="00125998">
            <w:pPr>
              <w:rPr>
                <w:rFonts w:ascii="Arial Narrow" w:hAnsi="Arial Narrow"/>
              </w:rPr>
            </w:pPr>
            <w:r w:rsidRPr="00F14C81">
              <w:rPr>
                <w:rFonts w:ascii="Arial Narrow" w:hAnsi="Arial Narrow"/>
              </w:rPr>
              <w:t>3</w:t>
            </w:r>
          </w:p>
        </w:tc>
        <w:tc>
          <w:tcPr>
            <w:tcW w:w="1800" w:type="dxa"/>
          </w:tcPr>
          <w:p w14:paraId="0DCA9772" w14:textId="77777777" w:rsidR="00125998" w:rsidRPr="00F14C81" w:rsidRDefault="00125998">
            <w:pPr>
              <w:rPr>
                <w:rFonts w:ascii="Arial Narrow" w:hAnsi="Arial Narrow"/>
              </w:rPr>
            </w:pPr>
            <w:r w:rsidRPr="00F14C81">
              <w:rPr>
                <w:rFonts w:ascii="Arial Narrow" w:hAnsi="Arial Narrow"/>
              </w:rPr>
              <w:t>0</w:t>
            </w:r>
          </w:p>
        </w:tc>
        <w:tc>
          <w:tcPr>
            <w:tcW w:w="1960" w:type="dxa"/>
          </w:tcPr>
          <w:p w14:paraId="3020B174" w14:textId="77777777" w:rsidR="00125998" w:rsidRPr="00F14C81" w:rsidRDefault="00125998" w:rsidP="00125998">
            <w:pPr>
              <w:keepNext/>
              <w:rPr>
                <w:rFonts w:ascii="Arial Narrow" w:hAnsi="Arial Narrow"/>
              </w:rPr>
            </w:pPr>
            <w:r w:rsidRPr="00F14C81">
              <w:rPr>
                <w:rFonts w:ascii="Arial Narrow" w:hAnsi="Arial Narrow"/>
              </w:rPr>
              <w:t>155.2</w:t>
            </w:r>
          </w:p>
        </w:tc>
      </w:tr>
    </w:tbl>
    <w:p w14:paraId="0641C817" w14:textId="51BFB441" w:rsidR="00125998" w:rsidRPr="00F14C81" w:rsidRDefault="00125998" w:rsidP="00125998">
      <w:pPr>
        <w:pStyle w:val="Caption"/>
        <w:rPr>
          <w:rFonts w:ascii="Arial Narrow" w:hAnsi="Arial Narrow" w:cs="Arial"/>
          <w:i/>
          <w:iCs w:val="0"/>
          <w:szCs w:val="24"/>
        </w:rPr>
      </w:pPr>
    </w:p>
    <w:p w14:paraId="43CCEA44" w14:textId="77777777" w:rsidR="00E619B6" w:rsidRPr="00F14C81" w:rsidRDefault="00E619B6" w:rsidP="00E619B6">
      <w:pPr>
        <w:rPr>
          <w:rFonts w:ascii="Arial Narrow" w:hAnsi="Arial Narrow" w:cs="Arial"/>
          <w:i/>
          <w:iCs/>
        </w:rPr>
      </w:pPr>
    </w:p>
    <w:p w14:paraId="60542172" w14:textId="3B4D0B40" w:rsidR="00D33224" w:rsidRDefault="004836C2" w:rsidP="004836C2">
      <w:pPr>
        <w:pStyle w:val="Head3"/>
      </w:pPr>
      <w:bookmarkStart w:id="110" w:name="_Toc228288444"/>
      <w:r w:rsidRPr="009D558C">
        <w:t>Seismicity</w:t>
      </w:r>
      <w:bookmarkEnd w:id="110"/>
      <w:r w:rsidR="00CA4D6C" w:rsidRPr="00CA4D6C">
        <w:t xml:space="preserve"> </w:t>
      </w:r>
    </w:p>
    <w:p w14:paraId="4EE6FD3D" w14:textId="0C13E60F" w:rsidR="004836C2" w:rsidRPr="00D33224" w:rsidRDefault="00CA4D6C" w:rsidP="00AB4E2C">
      <w:pPr>
        <w:pStyle w:val="BodyText"/>
      </w:pPr>
      <w:r w:rsidRPr="00D33224">
        <w:t>Pohnpei Island, the eroded remnant of a basaltic shield volcano within the Caroline Islands, lies on interior oceanic lithosphere well away from the nearest active plate boundaries of the circum</w:t>
      </w:r>
      <w:r w:rsidRPr="00D33224">
        <w:rPr>
          <w:rFonts w:ascii="Cambria Math" w:hAnsi="Cambria Math" w:cs="Cambria Math"/>
        </w:rPr>
        <w:t>‑</w:t>
      </w:r>
      <w:r w:rsidRPr="00D33224">
        <w:t>Pacific system</w:t>
      </w:r>
      <w:r w:rsidR="00AC0D3D">
        <w:t xml:space="preserve"> (</w:t>
      </w:r>
      <w:r w:rsidR="00805CDD">
        <w:t xml:space="preserve">Spengler and others, </w:t>
      </w:r>
      <w:r w:rsidR="008422E1">
        <w:t xml:space="preserve">1991; </w:t>
      </w:r>
      <w:r w:rsidR="00625593">
        <w:t>Spengler and others,</w:t>
      </w:r>
      <w:r w:rsidR="008422E1">
        <w:t xml:space="preserve"> </w:t>
      </w:r>
      <w:r w:rsidR="00B4753C">
        <w:t>2012; Zong and others</w:t>
      </w:r>
      <w:r w:rsidR="00625593">
        <w:t>, 2020</w:t>
      </w:r>
      <w:r w:rsidR="00AC0D3D">
        <w:t>)</w:t>
      </w:r>
      <w:r w:rsidRPr="00D33224">
        <w:t>. The closest subduction margins are to the northwest along the Yap–Palau–Mariana trench–arc system, far offshore from Pohnpei’s location, which contributes to a generally low local seismic hazard on the island. Recent regional assessments and historical catalogs indicate few instrumental earthquakes within several hundred kilometers of Pohnpei; for example, the strongest event reported in the past decade was about M</w:t>
      </w:r>
      <w:r w:rsidRPr="00D33224">
        <w:rPr>
          <w:rFonts w:ascii="Arial" w:hAnsi="Arial" w:cs="Arial"/>
        </w:rPr>
        <w:t> </w:t>
      </w:r>
      <w:r w:rsidRPr="00D33224">
        <w:t>4.6 on March</w:t>
      </w:r>
      <w:r w:rsidRPr="00D33224">
        <w:rPr>
          <w:rFonts w:ascii="Arial" w:hAnsi="Arial" w:cs="Arial"/>
        </w:rPr>
        <w:t> </w:t>
      </w:r>
      <w:r w:rsidRPr="00D33224">
        <w:t>24,</w:t>
      </w:r>
      <w:r w:rsidRPr="00D33224">
        <w:rPr>
          <w:rFonts w:ascii="Arial" w:hAnsi="Arial" w:cs="Arial"/>
        </w:rPr>
        <w:t> </w:t>
      </w:r>
      <w:r w:rsidRPr="00D33224">
        <w:t>2025, located roughly 160</w:t>
      </w:r>
      <w:r w:rsidRPr="00D33224">
        <w:rPr>
          <w:rFonts w:ascii="Arial" w:hAnsi="Arial" w:cs="Arial"/>
        </w:rPr>
        <w:t> </w:t>
      </w:r>
      <w:r w:rsidRPr="00D33224">
        <w:t>km east of Palikir at shallow depth, and earlier records note only sparse moderate events since 1900. Over such distances, attenuation of seismic waves across oceanic paths typically limits felt intensity on Pohnpei, and there are no mapped active faults or documented sequences of damaging, locally generated earthquakes on the island. A 2024 engineering hazard review similarly characterizes Pohnpei’s seismic exposure as low and provides probabilistic and deterministic ground</w:t>
      </w:r>
      <w:r w:rsidRPr="00D33224">
        <w:rPr>
          <w:rFonts w:ascii="Cambria Math" w:hAnsi="Cambria Math" w:cs="Cambria Math"/>
        </w:rPr>
        <w:t>‑</w:t>
      </w:r>
      <w:r w:rsidRPr="00D33224">
        <w:t>motion estimates for planning purposes, noting no island</w:t>
      </w:r>
      <w:r w:rsidRPr="00D33224">
        <w:rPr>
          <w:rFonts w:ascii="Cambria Math" w:hAnsi="Cambria Math" w:cs="Cambria Math"/>
        </w:rPr>
        <w:t>‑</w:t>
      </w:r>
      <w:r w:rsidRPr="00D33224">
        <w:t>specific liquefaction zones or tsunami sources identified by prior investigators. Accordingly, perceptible shaking on Pohnpei is infrequent, and damaging ground motions are uncommon; routine awareness and preparedness remain prudent given the island’s regional proximity to active subduction systems and its broader western Pacific context within the Ring of Fire.</w:t>
      </w:r>
    </w:p>
    <w:p w14:paraId="3BB22616" w14:textId="77777777" w:rsidR="00F42FEE" w:rsidRDefault="00F42FEE" w:rsidP="00AB4E2C">
      <w:pPr>
        <w:pStyle w:val="BodyText"/>
      </w:pPr>
    </w:p>
    <w:p w14:paraId="1EC7A8FF" w14:textId="3DBEE75E" w:rsidR="00D92AEE" w:rsidRPr="00FD18F8" w:rsidRDefault="00D92AEE" w:rsidP="00D92AEE">
      <w:pPr>
        <w:pStyle w:val="Head2"/>
      </w:pPr>
      <w:bookmarkStart w:id="111" w:name="_Toc228288445"/>
      <w:r w:rsidRPr="00FD18F8">
        <w:t>Island of Yap</w:t>
      </w:r>
      <w:bookmarkEnd w:id="111"/>
    </w:p>
    <w:p w14:paraId="124E582C" w14:textId="6DDC4006" w:rsidR="00F269F9" w:rsidRDefault="003560D0" w:rsidP="003560D0">
      <w:r>
        <w:t>Yap State consists of four high continental‑type islands located near 9.</w:t>
      </w:r>
      <w:r w:rsidR="00F50656">
        <w:t>3</w:t>
      </w:r>
      <w:r>
        <w:t>°N and 138.1°E, along with numerous low‑lying atolls</w:t>
      </w:r>
      <w:r w:rsidR="00F269F9">
        <w:t xml:space="preserve"> (</w:t>
      </w:r>
      <w:r w:rsidR="00467316">
        <w:fldChar w:fldCharType="begin"/>
      </w:r>
      <w:r w:rsidR="00467316">
        <w:instrText xml:space="preserve"> REF _Ref226903259 \h </w:instrText>
      </w:r>
      <w:r w:rsidR="00467316">
        <w:fldChar w:fldCharType="separate"/>
      </w:r>
      <w:r w:rsidR="00244816" w:rsidRPr="00467316">
        <w:rPr>
          <w:rFonts w:ascii="Arial Narrow" w:hAnsi="Arial Narrow"/>
        </w:rPr>
        <w:t xml:space="preserve">Figure </w:t>
      </w:r>
      <w:r w:rsidR="00244816">
        <w:rPr>
          <w:rFonts w:ascii="Arial Narrow" w:hAnsi="Arial Narrow"/>
          <w:noProof/>
        </w:rPr>
        <w:t>24</w:t>
      </w:r>
      <w:r w:rsidR="00467316">
        <w:fldChar w:fldCharType="end"/>
      </w:r>
      <w:r w:rsidR="00F269F9">
        <w:t>)</w:t>
      </w:r>
      <w:r>
        <w:t xml:space="preserve">. </w:t>
      </w:r>
    </w:p>
    <w:p w14:paraId="2B45487B" w14:textId="7AA2446F" w:rsidR="00F269F9" w:rsidRDefault="00690F88" w:rsidP="003560D0">
      <w:r>
        <w:rPr>
          <w:noProof/>
        </w:rPr>
        <w:drawing>
          <wp:inline distT="0" distB="0" distL="0" distR="0" wp14:anchorId="3E285EEB" wp14:editId="5BEC5B7E">
            <wp:extent cx="5126736" cy="4764024"/>
            <wp:effectExtent l="0" t="0" r="0" b="0"/>
            <wp:docPr id="375699165"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5699165" name="Picture 375699165"/>
                    <pic:cNvPicPr/>
                  </pic:nvPicPr>
                  <pic:blipFill>
                    <a:blip r:embed="rId34"/>
                    <a:stretch>
                      <a:fillRect/>
                    </a:stretch>
                  </pic:blipFill>
                  <pic:spPr>
                    <a:xfrm>
                      <a:off x="0" y="0"/>
                      <a:ext cx="5126736" cy="4764024"/>
                    </a:xfrm>
                    <a:prstGeom prst="rect">
                      <a:avLst/>
                    </a:prstGeom>
                  </pic:spPr>
                </pic:pic>
              </a:graphicData>
            </a:graphic>
          </wp:inline>
        </w:drawing>
      </w:r>
    </w:p>
    <w:p w14:paraId="1D79A297" w14:textId="466C29B4" w:rsidR="00467316" w:rsidRPr="00467316" w:rsidRDefault="00467316" w:rsidP="00467316">
      <w:pPr>
        <w:pStyle w:val="Caption"/>
        <w:rPr>
          <w:rFonts w:ascii="Arial Narrow" w:hAnsi="Arial Narrow"/>
        </w:rPr>
      </w:pPr>
      <w:bookmarkStart w:id="112" w:name="_Ref226903259"/>
      <w:bookmarkStart w:id="113" w:name="_Toc227410296"/>
      <w:r w:rsidRPr="00467316">
        <w:rPr>
          <w:rFonts w:ascii="Arial Narrow" w:hAnsi="Arial Narrow"/>
        </w:rPr>
        <w:t xml:space="preserve">Figure </w:t>
      </w:r>
      <w:r w:rsidRPr="00467316">
        <w:rPr>
          <w:rFonts w:ascii="Arial Narrow" w:hAnsi="Arial Narrow"/>
        </w:rPr>
        <w:fldChar w:fldCharType="begin"/>
      </w:r>
      <w:r w:rsidRPr="00467316">
        <w:rPr>
          <w:rFonts w:ascii="Arial Narrow" w:hAnsi="Arial Narrow"/>
        </w:rPr>
        <w:instrText xml:space="preserve"> SEQ Figure \* ARABIC </w:instrText>
      </w:r>
      <w:r w:rsidRPr="00467316">
        <w:rPr>
          <w:rFonts w:ascii="Arial Narrow" w:hAnsi="Arial Narrow"/>
        </w:rPr>
        <w:fldChar w:fldCharType="separate"/>
      </w:r>
      <w:r w:rsidR="00244816">
        <w:rPr>
          <w:rFonts w:ascii="Arial Narrow" w:hAnsi="Arial Narrow"/>
          <w:noProof/>
        </w:rPr>
        <w:t>24</w:t>
      </w:r>
      <w:r w:rsidRPr="00467316">
        <w:rPr>
          <w:rFonts w:ascii="Arial Narrow" w:hAnsi="Arial Narrow"/>
        </w:rPr>
        <w:fldChar w:fldCharType="end"/>
      </w:r>
      <w:bookmarkEnd w:id="112"/>
      <w:r w:rsidRPr="00467316">
        <w:rPr>
          <w:rFonts w:ascii="Arial Narrow" w:hAnsi="Arial Narrow"/>
        </w:rPr>
        <w:t>. Map of Yap. The Geographic Coordinate System is WGS84. Sources: Esri, TomTom, FAO, NOAA, USGS.</w:t>
      </w:r>
      <w:bookmarkEnd w:id="113"/>
    </w:p>
    <w:p w14:paraId="2C1A4BB8" w14:textId="6E611543" w:rsidR="00153862" w:rsidRPr="00467316" w:rsidRDefault="00153862" w:rsidP="00467316">
      <w:pPr>
        <w:pStyle w:val="Caption"/>
        <w:ind w:firstLine="720"/>
        <w:rPr>
          <w:rFonts w:ascii="Arial Narrow" w:hAnsi="Arial Narrow"/>
        </w:rPr>
      </w:pPr>
      <w:r w:rsidRPr="00467316">
        <w:rPr>
          <w:rFonts w:ascii="Arial Narrow" w:hAnsi="Arial Narrow"/>
        </w:rPr>
        <w:t xml:space="preserve">Alt text: A map showing the island </w:t>
      </w:r>
      <w:r w:rsidR="00690F88" w:rsidRPr="00467316">
        <w:rPr>
          <w:rFonts w:ascii="Arial Narrow" w:hAnsi="Arial Narrow"/>
        </w:rPr>
        <w:t>Yap</w:t>
      </w:r>
      <w:r w:rsidRPr="00467316">
        <w:rPr>
          <w:rFonts w:ascii="Arial Narrow" w:hAnsi="Arial Narrow"/>
        </w:rPr>
        <w:t>. The map uses the WGS84 geographic coordinate system and includes data sources from Esri, TomTom, FAO, NOAA, and USGS.</w:t>
      </w:r>
    </w:p>
    <w:p w14:paraId="4E002C33" w14:textId="36370FB4" w:rsidR="003560D0" w:rsidRDefault="003560D0" w:rsidP="00E65B41">
      <w:pPr>
        <w:ind w:firstLine="720"/>
      </w:pPr>
      <w:r>
        <w:t>The high islands feature rolling hills, thin soils, and short watersheds that support small streams during wet periods but provide limited perennial flow. Freshwater availability on Yap relies heavily on shallow groundwater lenses and rainwater harvesting, making the island particularly vulnerable to ENSO‑driven droughts</w:t>
      </w:r>
      <w:r w:rsidR="008F1BF7">
        <w:t xml:space="preserve"> (</w:t>
      </w:r>
      <w:r w:rsidR="00953A31" w:rsidRPr="00953A31">
        <w:t xml:space="preserve">Jenson </w:t>
      </w:r>
      <w:r w:rsidR="00953A31">
        <w:t>and others</w:t>
      </w:r>
      <w:r w:rsidR="00953A31" w:rsidRPr="00953A31">
        <w:t>, 2008</w:t>
      </w:r>
      <w:r w:rsidR="00953A31">
        <w:t xml:space="preserve">, </w:t>
      </w:r>
      <w:r w:rsidR="00852A84" w:rsidRPr="00852A84">
        <w:t xml:space="preserve">Samson and </w:t>
      </w:r>
      <w:proofErr w:type="spellStart"/>
      <w:r w:rsidR="00852A84" w:rsidRPr="00852A84">
        <w:t>Ruegorong</w:t>
      </w:r>
      <w:proofErr w:type="spellEnd"/>
      <w:r w:rsidR="00852A84" w:rsidRPr="00852A84">
        <w:t>, 2021</w:t>
      </w:r>
      <w:r w:rsidR="00852A84">
        <w:t>)</w:t>
      </w:r>
      <w:r>
        <w:t>. Most residents live in small coastal villages where groundwater salinization and limited storage capacity pose chronic challenges. Tectonically, Yap lies near the boundary of the Pacific and Philippine Sea Plates, adjacent to the Yap Trench, a major subduction zone. Although strong earthquakes are uncommon on the main islands, regional tectonic activity shapes long‑term coastal geomorphology and contributes to hazards relevant to water infrastructure and groundwater sustainability.</w:t>
      </w:r>
    </w:p>
    <w:p w14:paraId="6CAAF51B" w14:textId="39C1181D" w:rsidR="00D92AEE" w:rsidRDefault="00D92AEE" w:rsidP="00D92AEE">
      <w:pPr>
        <w:pStyle w:val="Head3"/>
      </w:pPr>
      <w:bookmarkStart w:id="114" w:name="_Toc228288446"/>
      <w:r w:rsidRPr="00FD18F8">
        <w:t>Precipitation</w:t>
      </w:r>
      <w:bookmarkEnd w:id="114"/>
    </w:p>
    <w:p w14:paraId="71AB93BC" w14:textId="2E335670" w:rsidR="007E6458" w:rsidRPr="007E6458" w:rsidRDefault="007E6458" w:rsidP="00060955">
      <w:pPr>
        <w:pStyle w:val="BodyText"/>
      </w:pPr>
      <w:r>
        <w:t xml:space="preserve">Yap has a tropical </w:t>
      </w:r>
      <w:r w:rsidR="529946A0">
        <w:t>monsoon influenced</w:t>
      </w:r>
      <w:r>
        <w:t xml:space="preserve"> climate with marked wet and dry seasons and substantially lower rainfall than the high volcanic islands of Kosrae and Pohnpei</w:t>
      </w:r>
      <w:r w:rsidR="00060955">
        <w:t xml:space="preserve"> (</w:t>
      </w:r>
      <w:proofErr w:type="spellStart"/>
      <w:r w:rsidR="00060955">
        <w:t>Aranug</w:t>
      </w:r>
      <w:proofErr w:type="spellEnd"/>
      <w:r w:rsidR="00060955">
        <w:t>, 2016)</w:t>
      </w:r>
      <w:r>
        <w:t xml:space="preserve">. Unlike the steep, </w:t>
      </w:r>
      <w:r w:rsidR="5BFF827F">
        <w:t>cloud forest</w:t>
      </w:r>
      <w:r>
        <w:t xml:space="preserve"> environments of those islands, Yap’s topography is more subdued, producing weaker orographic enhancement of rainfall. As a result, although Yap receives abundant precipitation during the wet season, it is more vulnerable to extended dry periods</w:t>
      </w:r>
      <w:r w:rsidR="002F17DA">
        <w:t xml:space="preserve">, </w:t>
      </w:r>
      <w:r>
        <w:t xml:space="preserve">especially during El Niño events. Longterm IMERG summaries indicate that Yap’s </w:t>
      </w:r>
      <w:r w:rsidR="00041C4F">
        <w:t>mean</w:t>
      </w:r>
      <w:r>
        <w:t xml:space="preserve"> annual precipitation is 2,809 mm/yr, the mean monthly precipitation is 234 mm, and the </w:t>
      </w:r>
      <w:r w:rsidR="00041C4F">
        <w:t>mean</w:t>
      </w:r>
      <w:r>
        <w:t xml:space="preserve"> of the minimum and maximum monthly precipitation per year is 56 mm and 575 mm, respectively (</w:t>
      </w:r>
      <w:r>
        <w:fldChar w:fldCharType="begin"/>
      </w:r>
      <w:r>
        <w:instrText xml:space="preserve"> REF _Ref226923254 \h </w:instrText>
      </w:r>
      <w:r>
        <w:fldChar w:fldCharType="separate"/>
      </w:r>
      <w:r w:rsidR="00244816" w:rsidRPr="5D4249CE">
        <w:rPr>
          <w:rFonts w:ascii="Arial Narrow" w:hAnsi="Arial Narrow"/>
        </w:rPr>
        <w:t xml:space="preserve">Table </w:t>
      </w:r>
      <w:r w:rsidR="00244816" w:rsidRPr="5D4249CE">
        <w:rPr>
          <w:rFonts w:ascii="Arial Narrow" w:hAnsi="Arial Narrow"/>
          <w:noProof/>
        </w:rPr>
        <w:t>7</w:t>
      </w:r>
      <w:r>
        <w:fldChar w:fldCharType="end"/>
      </w:r>
      <w:r>
        <w:t>).</w:t>
      </w:r>
    </w:p>
    <w:p w14:paraId="5E4F97C5" w14:textId="6AC9C653" w:rsidR="007E6458" w:rsidRDefault="00725061" w:rsidP="00725061">
      <w:pPr>
        <w:pStyle w:val="Caption"/>
        <w:rPr>
          <w:rFonts w:ascii="Arial Narrow" w:hAnsi="Arial Narrow"/>
        </w:rPr>
      </w:pPr>
      <w:bookmarkStart w:id="115" w:name="_Ref226923254"/>
      <w:bookmarkStart w:id="116" w:name="_Toc228288467"/>
      <w:r w:rsidRPr="00725061">
        <w:rPr>
          <w:rFonts w:ascii="Arial Narrow" w:hAnsi="Arial Narrow"/>
        </w:rPr>
        <w:t xml:space="preserve">Table </w:t>
      </w:r>
      <w:r w:rsidR="00F1468A">
        <w:rPr>
          <w:rFonts w:ascii="Arial Narrow" w:hAnsi="Arial Narrow"/>
        </w:rPr>
        <w:fldChar w:fldCharType="begin"/>
      </w:r>
      <w:r w:rsidR="00F1468A">
        <w:rPr>
          <w:rFonts w:ascii="Arial Narrow" w:hAnsi="Arial Narrow"/>
        </w:rPr>
        <w:instrText xml:space="preserve"> SEQ Table \* ARABIC </w:instrText>
      </w:r>
      <w:r w:rsidR="00F1468A">
        <w:rPr>
          <w:rFonts w:ascii="Arial Narrow" w:hAnsi="Arial Narrow"/>
        </w:rPr>
        <w:fldChar w:fldCharType="separate"/>
      </w:r>
      <w:r w:rsidR="00244816">
        <w:rPr>
          <w:rFonts w:ascii="Arial Narrow" w:hAnsi="Arial Narrow"/>
          <w:noProof/>
        </w:rPr>
        <w:t>7</w:t>
      </w:r>
      <w:r w:rsidR="00F1468A">
        <w:rPr>
          <w:rFonts w:ascii="Arial Narrow" w:hAnsi="Arial Narrow"/>
        </w:rPr>
        <w:fldChar w:fldCharType="end"/>
      </w:r>
      <w:bookmarkEnd w:id="115"/>
      <w:r w:rsidRPr="00725061">
        <w:rPr>
          <w:rFonts w:ascii="Arial Narrow" w:hAnsi="Arial Narrow"/>
        </w:rPr>
        <w:t xml:space="preserve">. </w:t>
      </w:r>
      <w:r w:rsidR="007B7EBF">
        <w:rPr>
          <w:rFonts w:ascii="Arial Narrow" w:hAnsi="Arial Narrow"/>
        </w:rPr>
        <w:t>Mean</w:t>
      </w:r>
      <w:r w:rsidRPr="00725061">
        <w:rPr>
          <w:rFonts w:ascii="Arial Narrow" w:hAnsi="Arial Narrow"/>
        </w:rPr>
        <w:t xml:space="preserve"> IMERG precipitation statistics (1998–2024) for Yap</w:t>
      </w:r>
      <w:bookmarkEnd w:id="116"/>
    </w:p>
    <w:tbl>
      <w:tblPr>
        <w:tblStyle w:val="TableGrid"/>
        <w:tblW w:w="0" w:type="auto"/>
        <w:tblLook w:val="04A0" w:firstRow="1" w:lastRow="0" w:firstColumn="1" w:lastColumn="0" w:noHBand="0" w:noVBand="1"/>
      </w:tblPr>
      <w:tblGrid>
        <w:gridCol w:w="3955"/>
        <w:gridCol w:w="3595"/>
      </w:tblGrid>
      <w:tr w:rsidR="00EB44B3" w:rsidRPr="00937742" w14:paraId="03F31C30" w14:textId="77777777">
        <w:tc>
          <w:tcPr>
            <w:tcW w:w="3955" w:type="dxa"/>
          </w:tcPr>
          <w:p w14:paraId="345B0707" w14:textId="77777777" w:rsidR="00EB44B3" w:rsidRPr="0070522D" w:rsidRDefault="00EB44B3">
            <w:pPr>
              <w:pStyle w:val="BodyText"/>
              <w:ind w:firstLine="0"/>
              <w:rPr>
                <w:rFonts w:ascii="Arial Narrow" w:hAnsi="Arial Narrow"/>
                <w:b/>
                <w:bCs/>
              </w:rPr>
            </w:pPr>
            <w:r w:rsidRPr="0070522D">
              <w:rPr>
                <w:rFonts w:ascii="Arial Narrow" w:hAnsi="Arial Narrow"/>
                <w:b/>
                <w:bCs/>
              </w:rPr>
              <w:t>Statistic</w:t>
            </w:r>
          </w:p>
        </w:tc>
        <w:tc>
          <w:tcPr>
            <w:tcW w:w="3595" w:type="dxa"/>
          </w:tcPr>
          <w:p w14:paraId="232956C9" w14:textId="109440DA" w:rsidR="00EB44B3" w:rsidRPr="0070522D" w:rsidRDefault="00EB44B3">
            <w:pPr>
              <w:pStyle w:val="BodyText"/>
              <w:ind w:firstLine="0"/>
              <w:rPr>
                <w:rFonts w:ascii="Arial Narrow" w:hAnsi="Arial Narrow"/>
                <w:b/>
                <w:bCs/>
              </w:rPr>
            </w:pPr>
            <w:r>
              <w:rPr>
                <w:rFonts w:ascii="Arial Narrow" w:hAnsi="Arial Narrow"/>
                <w:b/>
                <w:bCs/>
              </w:rPr>
              <w:t>P</w:t>
            </w:r>
            <w:r w:rsidRPr="0070522D">
              <w:rPr>
                <w:rFonts w:ascii="Arial Narrow" w:hAnsi="Arial Narrow"/>
                <w:b/>
                <w:bCs/>
              </w:rPr>
              <w:t>recipitation</w:t>
            </w:r>
            <w:r w:rsidR="008B2CDE">
              <w:rPr>
                <w:rFonts w:ascii="Arial Narrow" w:hAnsi="Arial Narrow"/>
                <w:b/>
                <w:bCs/>
              </w:rPr>
              <w:t xml:space="preserve"> (mm)</w:t>
            </w:r>
          </w:p>
        </w:tc>
      </w:tr>
      <w:tr w:rsidR="00EB44B3" w:rsidRPr="00937742" w14:paraId="5DFDA5B6" w14:textId="77777777">
        <w:tc>
          <w:tcPr>
            <w:tcW w:w="3955" w:type="dxa"/>
          </w:tcPr>
          <w:p w14:paraId="208D15A3" w14:textId="79F688EF" w:rsidR="00EB44B3" w:rsidRPr="0070522D" w:rsidRDefault="00EB44B3">
            <w:pPr>
              <w:pStyle w:val="BodyText"/>
              <w:ind w:firstLine="0"/>
              <w:rPr>
                <w:rFonts w:ascii="Arial Narrow" w:hAnsi="Arial Narrow"/>
              </w:rPr>
            </w:pPr>
            <w:r>
              <w:rPr>
                <w:rFonts w:ascii="Arial Narrow" w:hAnsi="Arial Narrow"/>
              </w:rPr>
              <w:t>Mean</w:t>
            </w:r>
            <w:r w:rsidRPr="00937742">
              <w:rPr>
                <w:rFonts w:ascii="Arial Narrow" w:hAnsi="Arial Narrow"/>
              </w:rPr>
              <w:t xml:space="preserve"> annual</w:t>
            </w:r>
          </w:p>
        </w:tc>
        <w:tc>
          <w:tcPr>
            <w:tcW w:w="3595" w:type="dxa"/>
          </w:tcPr>
          <w:p w14:paraId="5F83CA88" w14:textId="3B7F482E" w:rsidR="00EB44B3" w:rsidRPr="0070522D" w:rsidRDefault="00EB44B3">
            <w:pPr>
              <w:pStyle w:val="BodyText"/>
              <w:ind w:firstLine="0"/>
              <w:rPr>
                <w:rFonts w:ascii="Arial Narrow" w:hAnsi="Arial Narrow"/>
              </w:rPr>
            </w:pPr>
            <w:r>
              <w:rPr>
                <w:rFonts w:ascii="Arial Narrow" w:hAnsi="Arial Narrow"/>
              </w:rPr>
              <w:t>2809</w:t>
            </w:r>
          </w:p>
        </w:tc>
      </w:tr>
      <w:tr w:rsidR="00EB44B3" w:rsidRPr="00937742" w14:paraId="5296ECBE" w14:textId="77777777">
        <w:tc>
          <w:tcPr>
            <w:tcW w:w="3955" w:type="dxa"/>
          </w:tcPr>
          <w:p w14:paraId="66CB1CF1" w14:textId="774CF8C6" w:rsidR="00EB44B3" w:rsidRPr="0070522D" w:rsidRDefault="00DA13CD">
            <w:pPr>
              <w:pStyle w:val="BodyText"/>
              <w:ind w:firstLine="0"/>
              <w:rPr>
                <w:rFonts w:ascii="Arial Narrow" w:hAnsi="Arial Narrow"/>
              </w:rPr>
            </w:pPr>
            <w:r>
              <w:rPr>
                <w:rFonts w:ascii="Arial Narrow" w:hAnsi="Arial Narrow"/>
              </w:rPr>
              <w:t>M</w:t>
            </w:r>
            <w:r w:rsidRPr="00937742">
              <w:rPr>
                <w:rFonts w:ascii="Arial Narrow" w:hAnsi="Arial Narrow"/>
              </w:rPr>
              <w:t>ean</w:t>
            </w:r>
            <w:r w:rsidR="00EB44B3" w:rsidRPr="00937742">
              <w:rPr>
                <w:rFonts w:ascii="Arial Narrow" w:hAnsi="Arial Narrow"/>
              </w:rPr>
              <w:t xml:space="preserve"> monthly</w:t>
            </w:r>
            <w:r>
              <w:rPr>
                <w:rFonts w:ascii="Arial Narrow" w:hAnsi="Arial Narrow"/>
              </w:rPr>
              <w:t xml:space="preserve"> mean</w:t>
            </w:r>
          </w:p>
        </w:tc>
        <w:tc>
          <w:tcPr>
            <w:tcW w:w="3595" w:type="dxa"/>
          </w:tcPr>
          <w:p w14:paraId="192243FC" w14:textId="1D00DE29" w:rsidR="00EB44B3" w:rsidRPr="0070522D" w:rsidRDefault="00EB44B3">
            <w:pPr>
              <w:pStyle w:val="BodyText"/>
              <w:ind w:firstLine="0"/>
              <w:rPr>
                <w:rFonts w:ascii="Arial Narrow" w:hAnsi="Arial Narrow"/>
              </w:rPr>
            </w:pPr>
            <w:r>
              <w:rPr>
                <w:rFonts w:ascii="Arial Narrow" w:hAnsi="Arial Narrow"/>
              </w:rPr>
              <w:t>234</w:t>
            </w:r>
            <w:r w:rsidRPr="0070522D">
              <w:rPr>
                <w:rFonts w:ascii="Arial Narrow" w:hAnsi="Arial Narrow"/>
              </w:rPr>
              <w:t xml:space="preserve"> </w:t>
            </w:r>
          </w:p>
        </w:tc>
      </w:tr>
      <w:tr w:rsidR="00EB44B3" w:rsidRPr="00937742" w14:paraId="233E64DB" w14:textId="77777777">
        <w:tc>
          <w:tcPr>
            <w:tcW w:w="3955" w:type="dxa"/>
          </w:tcPr>
          <w:p w14:paraId="030518D5" w14:textId="535F6F18" w:rsidR="00EB44B3" w:rsidRPr="0070522D" w:rsidRDefault="00DA13CD">
            <w:pPr>
              <w:pStyle w:val="BodyText"/>
              <w:ind w:firstLine="0"/>
              <w:rPr>
                <w:rFonts w:ascii="Arial Narrow" w:hAnsi="Arial Narrow"/>
              </w:rPr>
            </w:pPr>
            <w:r>
              <w:rPr>
                <w:rFonts w:ascii="Arial Narrow" w:hAnsi="Arial Narrow"/>
              </w:rPr>
              <w:t xml:space="preserve">Mean </w:t>
            </w:r>
            <w:r w:rsidRPr="00937742">
              <w:rPr>
                <w:rFonts w:ascii="Arial Narrow" w:hAnsi="Arial Narrow"/>
              </w:rPr>
              <w:t>monthly</w:t>
            </w:r>
            <w:r>
              <w:rPr>
                <w:rFonts w:ascii="Arial Narrow" w:hAnsi="Arial Narrow"/>
              </w:rPr>
              <w:t xml:space="preserve"> minimum</w:t>
            </w:r>
          </w:p>
        </w:tc>
        <w:tc>
          <w:tcPr>
            <w:tcW w:w="3595" w:type="dxa"/>
          </w:tcPr>
          <w:p w14:paraId="759654C1" w14:textId="45578F61" w:rsidR="00EB44B3" w:rsidRPr="0070522D" w:rsidRDefault="00EB44B3">
            <w:pPr>
              <w:pStyle w:val="BodyText"/>
              <w:ind w:firstLine="0"/>
              <w:rPr>
                <w:rFonts w:ascii="Arial Narrow" w:hAnsi="Arial Narrow"/>
              </w:rPr>
            </w:pPr>
            <w:r>
              <w:rPr>
                <w:rFonts w:ascii="Arial Narrow" w:hAnsi="Arial Narrow"/>
              </w:rPr>
              <w:t>56</w:t>
            </w:r>
            <w:r w:rsidRPr="0070522D">
              <w:rPr>
                <w:rFonts w:ascii="Arial Narrow" w:hAnsi="Arial Narrow"/>
              </w:rPr>
              <w:t xml:space="preserve"> </w:t>
            </w:r>
          </w:p>
        </w:tc>
      </w:tr>
      <w:tr w:rsidR="00EB44B3" w:rsidRPr="00937742" w14:paraId="61032C7B" w14:textId="77777777">
        <w:tc>
          <w:tcPr>
            <w:tcW w:w="3955" w:type="dxa"/>
          </w:tcPr>
          <w:p w14:paraId="2BAFEFF7" w14:textId="1FEE0DD6" w:rsidR="00EB44B3" w:rsidRPr="0070522D" w:rsidRDefault="00DA13CD">
            <w:pPr>
              <w:pStyle w:val="BodyText"/>
              <w:ind w:firstLine="0"/>
              <w:rPr>
                <w:rFonts w:ascii="Arial Narrow" w:hAnsi="Arial Narrow"/>
              </w:rPr>
            </w:pPr>
            <w:r>
              <w:rPr>
                <w:rFonts w:ascii="Arial Narrow" w:hAnsi="Arial Narrow"/>
              </w:rPr>
              <w:t xml:space="preserve">Mean </w:t>
            </w:r>
            <w:r w:rsidRPr="00937742">
              <w:rPr>
                <w:rFonts w:ascii="Arial Narrow" w:hAnsi="Arial Narrow"/>
              </w:rPr>
              <w:t>monthly</w:t>
            </w:r>
            <w:r>
              <w:rPr>
                <w:rFonts w:ascii="Arial Narrow" w:hAnsi="Arial Narrow"/>
              </w:rPr>
              <w:t xml:space="preserve"> maximum</w:t>
            </w:r>
          </w:p>
        </w:tc>
        <w:tc>
          <w:tcPr>
            <w:tcW w:w="3595" w:type="dxa"/>
          </w:tcPr>
          <w:p w14:paraId="1795985F" w14:textId="4B2456D4" w:rsidR="00EB44B3" w:rsidRPr="0070522D" w:rsidRDefault="00EB44B3">
            <w:pPr>
              <w:pStyle w:val="BodyText"/>
              <w:ind w:firstLine="0"/>
              <w:rPr>
                <w:rFonts w:ascii="Arial Narrow" w:hAnsi="Arial Narrow"/>
              </w:rPr>
            </w:pPr>
            <w:r>
              <w:rPr>
                <w:rFonts w:ascii="Arial Narrow" w:hAnsi="Arial Narrow"/>
              </w:rPr>
              <w:t>575</w:t>
            </w:r>
            <w:r w:rsidRPr="0070522D">
              <w:rPr>
                <w:rFonts w:ascii="Arial Narrow" w:hAnsi="Arial Narrow"/>
              </w:rPr>
              <w:t xml:space="preserve"> </w:t>
            </w:r>
          </w:p>
        </w:tc>
      </w:tr>
    </w:tbl>
    <w:p w14:paraId="264AD018" w14:textId="77777777" w:rsidR="00EB44B3" w:rsidRDefault="00EB44B3" w:rsidP="007E6458">
      <w:pPr>
        <w:pStyle w:val="BodyText"/>
      </w:pPr>
    </w:p>
    <w:p w14:paraId="3322651E" w14:textId="63E0D344" w:rsidR="007E6458" w:rsidRDefault="007E6458" w:rsidP="007E6458">
      <w:pPr>
        <w:pStyle w:val="BodyText"/>
      </w:pPr>
      <w:r>
        <w:t xml:space="preserve">Yap’s monthly precipitation varies substantially, with </w:t>
      </w:r>
      <w:r w:rsidR="60313C8A">
        <w:t>wet season</w:t>
      </w:r>
      <w:r>
        <w:t xml:space="preserve"> totals commonly exceeding 300–400 mm and </w:t>
      </w:r>
      <w:r w:rsidR="74AE6610">
        <w:t>dry season</w:t>
      </w:r>
      <w:r>
        <w:t xml:space="preserve"> months frequently falling below 100 mm</w:t>
      </w:r>
      <w:r w:rsidR="00431F87">
        <w:t xml:space="preserve"> (</w:t>
      </w:r>
      <w:r>
        <w:fldChar w:fldCharType="begin"/>
      </w:r>
      <w:r>
        <w:instrText xml:space="preserve"> REF _Ref226923327 \h </w:instrText>
      </w:r>
      <w:r>
        <w:fldChar w:fldCharType="separate"/>
      </w:r>
      <w:r w:rsidR="00244816" w:rsidRPr="5D4249CE">
        <w:rPr>
          <w:rFonts w:ascii="Arial Narrow" w:hAnsi="Arial Narrow"/>
        </w:rPr>
        <w:t xml:space="preserve">Figure </w:t>
      </w:r>
      <w:r w:rsidR="00244816" w:rsidRPr="5D4249CE">
        <w:rPr>
          <w:rFonts w:ascii="Arial Narrow" w:hAnsi="Arial Narrow"/>
          <w:noProof/>
        </w:rPr>
        <w:t>25</w:t>
      </w:r>
      <w:r>
        <w:fldChar w:fldCharType="end"/>
      </w:r>
      <w:r w:rsidR="00431F87">
        <w:t>)</w:t>
      </w:r>
      <w:r>
        <w:t>.</w:t>
      </w:r>
      <w:r w:rsidR="00431F87">
        <w:t xml:space="preserve"> </w:t>
      </w:r>
      <w:r>
        <w:t xml:space="preserve">The </w:t>
      </w:r>
      <w:r w:rsidR="00D8239A">
        <w:t xml:space="preserve">years from </w:t>
      </w:r>
      <w:r>
        <w:t>1998</w:t>
      </w:r>
      <w:r w:rsidR="00D8239A">
        <w:t xml:space="preserve"> to </w:t>
      </w:r>
      <w:r>
        <w:t>2024 show several notably wet months exceeding 500 mm, including August 2002 (818 mm), September 2002 (586 mm), September 2007 (582 mm), October 2022 (897 mm), August 2023 (676 mm), and July 2023 (644 mm). In contrast, Yap experiences some very dry months</w:t>
      </w:r>
      <w:r w:rsidR="00C8322E">
        <w:t xml:space="preserve">, </w:t>
      </w:r>
      <w:r>
        <w:t>often below 20 mm</w:t>
      </w:r>
      <w:r w:rsidR="00C8322E">
        <w:t xml:space="preserve">, </w:t>
      </w:r>
      <w:r>
        <w:t xml:space="preserve">such as March 1998 (0.38 mm), February 2019 (13.5 mm), and February 2024 (30 mm), reflecting Yap’s sensitivity to </w:t>
      </w:r>
      <w:r w:rsidR="00F83E01">
        <w:t>ENSO driven</w:t>
      </w:r>
      <w:r>
        <w:t xml:space="preserve"> drought conditions.</w:t>
      </w:r>
    </w:p>
    <w:p w14:paraId="01C92EC2" w14:textId="77BC2AB7" w:rsidR="00431F87" w:rsidRDefault="002520BF" w:rsidP="002520BF">
      <w:pPr>
        <w:pStyle w:val="BodyText"/>
        <w:ind w:firstLine="0"/>
      </w:pPr>
      <w:r>
        <w:rPr>
          <w:noProof/>
        </w:rPr>
        <w:drawing>
          <wp:inline distT="0" distB="0" distL="0" distR="0" wp14:anchorId="08BF9C2E" wp14:editId="2B7BF94B">
            <wp:extent cx="6070600" cy="3325091"/>
            <wp:effectExtent l="0" t="0" r="6350" b="8890"/>
            <wp:docPr id="59764764" name="Chart 1">
              <a:extLst xmlns:a="http://schemas.openxmlformats.org/drawingml/2006/main">
                <a:ext uri="{FF2B5EF4-FFF2-40B4-BE49-F238E27FC236}">
                  <a16:creationId xmlns:a16="http://schemas.microsoft.com/office/drawing/2014/main" id="{89CA503E-EC05-4665-B226-38759647D0E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inline>
        </w:drawing>
      </w:r>
    </w:p>
    <w:p w14:paraId="31F3092F" w14:textId="703FA039" w:rsidR="00EB44B3" w:rsidRPr="00EB44B3" w:rsidRDefault="00EB44B3" w:rsidP="00EB44B3">
      <w:pPr>
        <w:pStyle w:val="Caption"/>
        <w:rPr>
          <w:rFonts w:ascii="Arial Narrow" w:hAnsi="Arial Narrow"/>
        </w:rPr>
      </w:pPr>
      <w:bookmarkStart w:id="117" w:name="_Ref226923327"/>
      <w:bookmarkStart w:id="118" w:name="_Toc227410297"/>
      <w:r w:rsidRPr="00EB44B3">
        <w:rPr>
          <w:rFonts w:ascii="Arial Narrow" w:hAnsi="Arial Narrow"/>
        </w:rPr>
        <w:t xml:space="preserve">Figure </w:t>
      </w:r>
      <w:r w:rsidRPr="00EB44B3">
        <w:rPr>
          <w:rFonts w:ascii="Arial Narrow" w:hAnsi="Arial Narrow"/>
        </w:rPr>
        <w:fldChar w:fldCharType="begin"/>
      </w:r>
      <w:r w:rsidRPr="00EB44B3">
        <w:rPr>
          <w:rFonts w:ascii="Arial Narrow" w:hAnsi="Arial Narrow"/>
        </w:rPr>
        <w:instrText xml:space="preserve"> SEQ Figure \* ARABIC </w:instrText>
      </w:r>
      <w:r w:rsidRPr="00EB44B3">
        <w:rPr>
          <w:rFonts w:ascii="Arial Narrow" w:hAnsi="Arial Narrow"/>
        </w:rPr>
        <w:fldChar w:fldCharType="separate"/>
      </w:r>
      <w:r w:rsidR="00244816">
        <w:rPr>
          <w:rFonts w:ascii="Arial Narrow" w:hAnsi="Arial Narrow"/>
          <w:noProof/>
        </w:rPr>
        <w:t>25</w:t>
      </w:r>
      <w:r w:rsidRPr="00EB44B3">
        <w:rPr>
          <w:rFonts w:ascii="Arial Narrow" w:hAnsi="Arial Narrow"/>
        </w:rPr>
        <w:fldChar w:fldCharType="end"/>
      </w:r>
      <w:bookmarkEnd w:id="117"/>
      <w:r w:rsidRPr="00EB44B3">
        <w:rPr>
          <w:rFonts w:ascii="Arial Narrow" w:hAnsi="Arial Narrow"/>
        </w:rPr>
        <w:t>. Monthly precipitation for years 1998 - 2025 in mm.</w:t>
      </w:r>
      <w:bookmarkEnd w:id="118"/>
    </w:p>
    <w:p w14:paraId="19F0307A" w14:textId="6CD49207" w:rsidR="00EB44B3" w:rsidRPr="009F43CC" w:rsidRDefault="00EB44B3" w:rsidP="00EB44B3">
      <w:pPr>
        <w:pStyle w:val="Caption"/>
        <w:rPr>
          <w:rFonts w:ascii="Arial Narrow" w:hAnsi="Arial Narrow"/>
        </w:rPr>
      </w:pPr>
      <w:r>
        <w:rPr>
          <w:rFonts w:ascii="Arial Narrow" w:hAnsi="Arial Narrow"/>
        </w:rPr>
        <w:tab/>
        <w:t>Alt. text. Line graph showing the m</w:t>
      </w:r>
      <w:r w:rsidRPr="009F43CC">
        <w:rPr>
          <w:rFonts w:ascii="Arial Narrow" w:hAnsi="Arial Narrow"/>
        </w:rPr>
        <w:t>onthly precipitation for years 1998 - 2025 in mm.</w:t>
      </w:r>
    </w:p>
    <w:p w14:paraId="498E03BE" w14:textId="32B0DADC" w:rsidR="007E6458" w:rsidRDefault="007E6458" w:rsidP="007E6458">
      <w:pPr>
        <w:pStyle w:val="BodyText"/>
      </w:pPr>
      <w:r w:rsidRPr="007E6458">
        <w:t>Annual precipitation totals also vary widely</w:t>
      </w:r>
      <w:r w:rsidR="00662B79">
        <w:t xml:space="preserve"> </w:t>
      </w:r>
      <w:r w:rsidR="009F0313">
        <w:t>(</w:t>
      </w:r>
      <w:r w:rsidR="009B03FD">
        <w:fldChar w:fldCharType="begin"/>
      </w:r>
      <w:r w:rsidR="009B03FD">
        <w:instrText xml:space="preserve"> REF _Ref226923529 \h </w:instrText>
      </w:r>
      <w:r w:rsidR="009B03FD">
        <w:fldChar w:fldCharType="separate"/>
      </w:r>
      <w:r w:rsidR="00244816" w:rsidRPr="00C0041C">
        <w:rPr>
          <w:rFonts w:ascii="Arial Narrow" w:hAnsi="Arial Narrow"/>
        </w:rPr>
        <w:t xml:space="preserve">Figure </w:t>
      </w:r>
      <w:r w:rsidR="00244816">
        <w:rPr>
          <w:rFonts w:ascii="Arial Narrow" w:hAnsi="Arial Narrow"/>
          <w:noProof/>
        </w:rPr>
        <w:t>26</w:t>
      </w:r>
      <w:r w:rsidR="009B03FD">
        <w:fldChar w:fldCharType="end"/>
      </w:r>
      <w:r w:rsidR="009F0313">
        <w:t>)</w:t>
      </w:r>
      <w:r w:rsidRPr="007E6458">
        <w:t>. The wettest year in the IMERG record is 20</w:t>
      </w:r>
      <w:r w:rsidR="0066742D">
        <w:t>22</w:t>
      </w:r>
      <w:r w:rsidRPr="007E6458">
        <w:t xml:space="preserve"> (</w:t>
      </w:r>
      <w:r w:rsidR="00875DC8">
        <w:t>4405</w:t>
      </w:r>
      <w:r w:rsidRPr="007E6458">
        <w:t xml:space="preserve"> mm), closely followed by 2018 (</w:t>
      </w:r>
      <w:r w:rsidR="00EB5D84">
        <w:t>4361</w:t>
      </w:r>
      <w:r w:rsidRPr="007E6458">
        <w:t xml:space="preserve"> mm), 20</w:t>
      </w:r>
      <w:r w:rsidR="00006340">
        <w:t>15</w:t>
      </w:r>
      <w:r w:rsidRPr="007E6458">
        <w:t xml:space="preserve"> (</w:t>
      </w:r>
      <w:r w:rsidR="00006340">
        <w:t>3730</w:t>
      </w:r>
      <w:r w:rsidRPr="007E6458">
        <w:t xml:space="preserve"> mm), and 20</w:t>
      </w:r>
      <w:r w:rsidR="00B87413">
        <w:t>11</w:t>
      </w:r>
      <w:r w:rsidRPr="007E6458">
        <w:t xml:space="preserve"> (</w:t>
      </w:r>
      <w:r w:rsidR="009C408E">
        <w:t>3665</w:t>
      </w:r>
      <w:r w:rsidRPr="007E6458">
        <w:t xml:space="preserve"> mm). The driest year was </w:t>
      </w:r>
      <w:r w:rsidR="00E86E97">
        <w:t>1998</w:t>
      </w:r>
      <w:r w:rsidRPr="007E6458">
        <w:t xml:space="preserve"> (</w:t>
      </w:r>
      <w:r w:rsidR="00E86E97">
        <w:t>2142</w:t>
      </w:r>
      <w:r w:rsidRPr="007E6458">
        <w:t xml:space="preserve"> mm). The most recent five</w:t>
      </w:r>
      <w:r w:rsidRPr="007E6458">
        <w:noBreakHyphen/>
        <w:t>year period (2020–2024) averages 3,</w:t>
      </w:r>
      <w:r w:rsidR="00F42056">
        <w:t>89</w:t>
      </w:r>
      <w:r w:rsidR="00085E29">
        <w:t>2</w:t>
      </w:r>
      <w:r w:rsidRPr="007E6458">
        <w:t xml:space="preserve"> mm/yr, which is ~</w:t>
      </w:r>
      <w:r w:rsidR="0013644C">
        <w:t>39</w:t>
      </w:r>
      <w:r w:rsidRPr="007E6458">
        <w:t>% wetter than the long</w:t>
      </w:r>
      <w:r w:rsidRPr="007E6458">
        <w:noBreakHyphen/>
        <w:t>term mean of 2,809 mm/yr, reflecting a relatively wet recent period compared to earlier parts of the record.</w:t>
      </w:r>
    </w:p>
    <w:p w14:paraId="4BBA73BE" w14:textId="5A8548B4" w:rsidR="00C84DFB" w:rsidRPr="007E6458" w:rsidRDefault="00332A06" w:rsidP="00D10C75">
      <w:pPr>
        <w:pStyle w:val="BodyText"/>
        <w:ind w:firstLine="0"/>
      </w:pPr>
      <w:r>
        <w:rPr>
          <w:noProof/>
        </w:rPr>
        <w:drawing>
          <wp:inline distT="0" distB="0" distL="0" distR="0" wp14:anchorId="4643112F" wp14:editId="4B5A875B">
            <wp:extent cx="5815330" cy="3265714"/>
            <wp:effectExtent l="0" t="0" r="0" b="0"/>
            <wp:docPr id="2033071161" name="Chart 1">
              <a:extLst xmlns:a="http://schemas.openxmlformats.org/drawingml/2006/main">
                <a:ext uri="{FF2B5EF4-FFF2-40B4-BE49-F238E27FC236}">
                  <a16:creationId xmlns:a16="http://schemas.microsoft.com/office/drawing/2014/main" id="{878890B1-21AD-4E3C-AA00-301CB53CFB78}"/>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p>
    <w:p w14:paraId="38F30707" w14:textId="6DAA9C46" w:rsidR="00C0041C" w:rsidRPr="00C0041C" w:rsidRDefault="00C0041C" w:rsidP="00C0041C">
      <w:pPr>
        <w:pStyle w:val="Caption"/>
        <w:rPr>
          <w:rFonts w:ascii="Arial Narrow" w:hAnsi="Arial Narrow"/>
        </w:rPr>
      </w:pPr>
      <w:bookmarkStart w:id="119" w:name="_Ref226923529"/>
      <w:bookmarkStart w:id="120" w:name="_Toc227410298"/>
      <w:r w:rsidRPr="00C0041C">
        <w:rPr>
          <w:rFonts w:ascii="Arial Narrow" w:hAnsi="Arial Narrow"/>
        </w:rPr>
        <w:t xml:space="preserve">Figure </w:t>
      </w:r>
      <w:r w:rsidRPr="00C0041C">
        <w:rPr>
          <w:rFonts w:ascii="Arial Narrow" w:hAnsi="Arial Narrow"/>
        </w:rPr>
        <w:fldChar w:fldCharType="begin"/>
      </w:r>
      <w:r w:rsidRPr="00C0041C">
        <w:rPr>
          <w:rFonts w:ascii="Arial Narrow" w:hAnsi="Arial Narrow"/>
        </w:rPr>
        <w:instrText xml:space="preserve"> SEQ Figure \* ARABIC </w:instrText>
      </w:r>
      <w:r w:rsidRPr="00C0041C">
        <w:rPr>
          <w:rFonts w:ascii="Arial Narrow" w:hAnsi="Arial Narrow"/>
        </w:rPr>
        <w:fldChar w:fldCharType="separate"/>
      </w:r>
      <w:r w:rsidR="00244816">
        <w:rPr>
          <w:rFonts w:ascii="Arial Narrow" w:hAnsi="Arial Narrow"/>
          <w:noProof/>
        </w:rPr>
        <w:t>26</w:t>
      </w:r>
      <w:r w:rsidRPr="00C0041C">
        <w:rPr>
          <w:rFonts w:ascii="Arial Narrow" w:hAnsi="Arial Narrow"/>
        </w:rPr>
        <w:fldChar w:fldCharType="end"/>
      </w:r>
      <w:bookmarkEnd w:id="119"/>
      <w:r w:rsidRPr="00C0041C">
        <w:rPr>
          <w:rFonts w:ascii="Arial Narrow" w:hAnsi="Arial Narrow"/>
        </w:rPr>
        <w:t>. Annual precipitation for years 1998 - 2024 in mm.</w:t>
      </w:r>
      <w:bookmarkEnd w:id="120"/>
      <w:r w:rsidRPr="00C0041C">
        <w:rPr>
          <w:rFonts w:ascii="Arial Narrow" w:hAnsi="Arial Narrow"/>
        </w:rPr>
        <w:tab/>
      </w:r>
    </w:p>
    <w:p w14:paraId="366ABD4F" w14:textId="08AB9154" w:rsidR="00C0041C" w:rsidRPr="009F43CC" w:rsidRDefault="00C0041C" w:rsidP="00C0041C">
      <w:pPr>
        <w:pStyle w:val="Caption"/>
        <w:ind w:firstLine="720"/>
        <w:rPr>
          <w:rFonts w:ascii="Arial Narrow" w:hAnsi="Arial Narrow"/>
        </w:rPr>
      </w:pPr>
      <w:r>
        <w:rPr>
          <w:rFonts w:ascii="Arial Narrow" w:hAnsi="Arial Narrow"/>
        </w:rPr>
        <w:t>Alt. text. Bar chart showing annual precipitation for years 1998 to 2024 in mm.</w:t>
      </w:r>
    </w:p>
    <w:p w14:paraId="683273AD" w14:textId="77777777" w:rsidR="007E6458" w:rsidRPr="007E6458" w:rsidRDefault="007E6458" w:rsidP="007E6458">
      <w:pPr>
        <w:pStyle w:val="BodyText"/>
      </w:pPr>
      <w:r w:rsidRPr="007E6458">
        <w:t>From a water</w:t>
      </w:r>
      <w:r w:rsidRPr="007E6458">
        <w:noBreakHyphen/>
        <w:t>management perspective, Yap’s combination of a strong dry season, shallow groundwater systems, and pronounced ENSO sensitivity highlights the importance of drought monitoring, rainwater harvesting reliability, and strategic storage planning to mitigate periodic freshwater shortages.</w:t>
      </w:r>
    </w:p>
    <w:p w14:paraId="2AC0928E" w14:textId="77777777" w:rsidR="004E179D" w:rsidRPr="00FD18F8" w:rsidRDefault="004E179D" w:rsidP="004E179D">
      <w:pPr>
        <w:pStyle w:val="BodyText"/>
      </w:pPr>
    </w:p>
    <w:p w14:paraId="4C6F9A6B" w14:textId="77777777" w:rsidR="00D92AEE" w:rsidRDefault="00D92AEE" w:rsidP="00D92AEE">
      <w:pPr>
        <w:pStyle w:val="Head3"/>
      </w:pPr>
      <w:bookmarkStart w:id="121" w:name="_Toc228288447"/>
      <w:r w:rsidRPr="00FD18F8">
        <w:t>Evapotranspiration</w:t>
      </w:r>
      <w:bookmarkEnd w:id="121"/>
    </w:p>
    <w:p w14:paraId="6511FBE2" w14:textId="0BBB7569" w:rsidR="00371906" w:rsidRDefault="000075ED" w:rsidP="00AA3139">
      <w:pPr>
        <w:pStyle w:val="BodyText"/>
      </w:pPr>
      <w:r>
        <w:t>Yap</w:t>
      </w:r>
      <w:r w:rsidR="00C61B16">
        <w:t>’s ET regime reflects the lower el</w:t>
      </w:r>
      <w:r w:rsidR="0033484D">
        <w:t>evation on the island</w:t>
      </w:r>
      <w:r w:rsidR="00E60831">
        <w:t>, more canopy structure</w:t>
      </w:r>
      <w:r w:rsidR="00051B6F">
        <w:t xml:space="preserve"> and stronger exposure to seasonal shifts in solar radiation and humidity (Hatfield and </w:t>
      </w:r>
      <w:proofErr w:type="spellStart"/>
      <w:r w:rsidR="00051B6F">
        <w:t>Prueger</w:t>
      </w:r>
      <w:proofErr w:type="spellEnd"/>
      <w:r w:rsidR="00051B6F">
        <w:t>, 2010).</w:t>
      </w:r>
    </w:p>
    <w:p w14:paraId="42A14E52" w14:textId="74C8004B" w:rsidR="00F12324" w:rsidRDefault="00F12324" w:rsidP="00AA3139">
      <w:pPr>
        <w:pStyle w:val="BodyText"/>
      </w:pPr>
      <w:r>
        <w:t xml:space="preserve">As a result, Yap experiences </w:t>
      </w:r>
      <w:r w:rsidR="00F52906">
        <w:t>little</w:t>
      </w:r>
      <w:r>
        <w:t xml:space="preserve"> ET variability throughout the year</w:t>
      </w:r>
      <w:r w:rsidR="00EF5C7D">
        <w:t xml:space="preserve"> (</w:t>
      </w:r>
      <w:r>
        <w:fldChar w:fldCharType="begin"/>
      </w:r>
      <w:r>
        <w:instrText xml:space="preserve"> REF _Ref226924055 \h </w:instrText>
      </w:r>
      <w:r>
        <w:fldChar w:fldCharType="separate"/>
      </w:r>
      <w:r w:rsidR="00244816" w:rsidRPr="5D4249CE">
        <w:rPr>
          <w:rFonts w:ascii="Arial Narrow" w:hAnsi="Arial Narrow"/>
        </w:rPr>
        <w:t xml:space="preserve">Figure </w:t>
      </w:r>
      <w:r w:rsidR="00244816" w:rsidRPr="5D4249CE">
        <w:rPr>
          <w:rFonts w:ascii="Arial Narrow" w:hAnsi="Arial Narrow"/>
          <w:noProof/>
        </w:rPr>
        <w:t>27</w:t>
      </w:r>
      <w:r>
        <w:fldChar w:fldCharType="end"/>
      </w:r>
      <w:r w:rsidR="00EF5C7D">
        <w:t>)</w:t>
      </w:r>
      <w:r w:rsidR="005813D5">
        <w:t xml:space="preserve">. </w:t>
      </w:r>
      <w:r w:rsidR="00A4251C">
        <w:t xml:space="preserve"> </w:t>
      </w:r>
      <w:r w:rsidR="00F67DC0">
        <w:t xml:space="preserve">ET values fall within a narrow band of </w:t>
      </w:r>
      <w:r w:rsidR="00BD3AA0">
        <w:t>9</w:t>
      </w:r>
      <w:r w:rsidR="0019010C">
        <w:t>0</w:t>
      </w:r>
      <w:r w:rsidR="00031147">
        <w:t>-1</w:t>
      </w:r>
      <w:r w:rsidR="0019010C">
        <w:t>07</w:t>
      </w:r>
      <w:r w:rsidR="00F67DC0">
        <w:t xml:space="preserve"> mm per month, varying far less than rainfall, which varies from 1</w:t>
      </w:r>
      <w:r w:rsidR="008E26B9">
        <w:t>09</w:t>
      </w:r>
      <w:r w:rsidR="00F67DC0">
        <w:t xml:space="preserve"> mm in February to 3</w:t>
      </w:r>
      <w:r w:rsidR="00190615">
        <w:t>82</w:t>
      </w:r>
      <w:r w:rsidR="00F67DC0">
        <w:t xml:space="preserve"> mm in </w:t>
      </w:r>
      <w:r w:rsidR="00190615">
        <w:t>September</w:t>
      </w:r>
      <w:r w:rsidR="00F67DC0">
        <w:t>.</w:t>
      </w:r>
      <w:r w:rsidR="00190615">
        <w:t xml:space="preserve"> </w:t>
      </w:r>
      <w:r>
        <w:t>During wetter months, high humidity, frequent cloud cover, and saturated soils limit evaporative demand, keeping actual ET relatively subdued. During the dry season, however, clearer skies and reduced rainfall increase atmospheric demand, allowing ET to rise even as soil moisture becomes more limiting.</w:t>
      </w:r>
    </w:p>
    <w:p w14:paraId="48871D58" w14:textId="6EC23DFB" w:rsidR="00B568F2" w:rsidRDefault="00AF5F29" w:rsidP="00F12324">
      <w:pPr>
        <w:pStyle w:val="BodyText"/>
      </w:pPr>
      <w:r>
        <w:rPr>
          <w:noProof/>
        </w:rPr>
        <w:drawing>
          <wp:inline distT="0" distB="0" distL="0" distR="0" wp14:anchorId="2CD0AE7C" wp14:editId="2D287D6E">
            <wp:extent cx="5943600" cy="3172460"/>
            <wp:effectExtent l="0" t="0" r="0" b="8890"/>
            <wp:docPr id="843192933" name="Chart 1">
              <a:extLst xmlns:a="http://schemas.openxmlformats.org/drawingml/2006/main">
                <a:ext uri="{FF2B5EF4-FFF2-40B4-BE49-F238E27FC236}">
                  <a16:creationId xmlns:a16="http://schemas.microsoft.com/office/drawing/2014/main" id="{743F99E4-500F-42C2-93D7-EB2E85C36BE3}"/>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inline>
        </w:drawing>
      </w:r>
    </w:p>
    <w:p w14:paraId="69E53617" w14:textId="29B711D5" w:rsidR="002407A9" w:rsidRPr="003A568F" w:rsidRDefault="00646DBC" w:rsidP="002407A9">
      <w:pPr>
        <w:pStyle w:val="Caption"/>
        <w:rPr>
          <w:rFonts w:ascii="Arial Narrow" w:hAnsi="Arial Narrow"/>
        </w:rPr>
      </w:pPr>
      <w:bookmarkStart w:id="122" w:name="_Ref226924055"/>
      <w:bookmarkStart w:id="123" w:name="_Toc227410299"/>
      <w:r w:rsidRPr="00646DBC">
        <w:rPr>
          <w:rFonts w:ascii="Arial Narrow" w:hAnsi="Arial Narrow"/>
        </w:rPr>
        <w:t xml:space="preserve">Figure </w:t>
      </w:r>
      <w:r w:rsidRPr="00646DBC">
        <w:rPr>
          <w:rFonts w:ascii="Arial Narrow" w:hAnsi="Arial Narrow"/>
        </w:rPr>
        <w:fldChar w:fldCharType="begin"/>
      </w:r>
      <w:r w:rsidRPr="00646DBC">
        <w:rPr>
          <w:rFonts w:ascii="Arial Narrow" w:hAnsi="Arial Narrow"/>
        </w:rPr>
        <w:instrText xml:space="preserve"> SEQ Figure \* ARABIC </w:instrText>
      </w:r>
      <w:r w:rsidRPr="00646DBC">
        <w:rPr>
          <w:rFonts w:ascii="Arial Narrow" w:hAnsi="Arial Narrow"/>
        </w:rPr>
        <w:fldChar w:fldCharType="separate"/>
      </w:r>
      <w:r w:rsidR="00244816">
        <w:rPr>
          <w:rFonts w:ascii="Arial Narrow" w:hAnsi="Arial Narrow"/>
          <w:noProof/>
        </w:rPr>
        <w:t>27</w:t>
      </w:r>
      <w:r w:rsidRPr="00646DBC">
        <w:rPr>
          <w:rFonts w:ascii="Arial Narrow" w:hAnsi="Arial Narrow"/>
        </w:rPr>
        <w:fldChar w:fldCharType="end"/>
      </w:r>
      <w:bookmarkEnd w:id="122"/>
      <w:r w:rsidRPr="00646DBC">
        <w:rPr>
          <w:rFonts w:ascii="Arial Narrow" w:hAnsi="Arial Narrow"/>
        </w:rPr>
        <w:t xml:space="preserve">. </w:t>
      </w:r>
      <w:r w:rsidR="002407A9">
        <w:rPr>
          <w:rFonts w:ascii="Arial Narrow" w:hAnsi="Arial Narrow"/>
        </w:rPr>
        <w:t xml:space="preserve">Mean </w:t>
      </w:r>
      <w:r w:rsidR="002407A9" w:rsidRPr="00687C34">
        <w:rPr>
          <w:rFonts w:ascii="Arial Narrow" w:hAnsi="Arial Narrow"/>
        </w:rPr>
        <w:t>monthly precipitation</w:t>
      </w:r>
      <w:r w:rsidR="002407A9">
        <w:rPr>
          <w:rFonts w:ascii="Arial Narrow" w:hAnsi="Arial Narrow"/>
        </w:rPr>
        <w:t xml:space="preserve"> (P)</w:t>
      </w:r>
      <w:r w:rsidR="002407A9" w:rsidRPr="00687C34">
        <w:rPr>
          <w:rFonts w:ascii="Arial Narrow" w:hAnsi="Arial Narrow"/>
        </w:rPr>
        <w:t xml:space="preserve"> and actual ET</w:t>
      </w:r>
      <w:r w:rsidR="002407A9">
        <w:rPr>
          <w:rFonts w:ascii="Arial Narrow" w:hAnsi="Arial Narrow"/>
        </w:rPr>
        <w:t xml:space="preserve"> (ETa) in mm</w:t>
      </w:r>
      <w:r w:rsidR="002407A9" w:rsidRPr="00687C34">
        <w:rPr>
          <w:rFonts w:ascii="Arial Narrow" w:hAnsi="Arial Narrow"/>
        </w:rPr>
        <w:t xml:space="preserve"> </w:t>
      </w:r>
      <w:r w:rsidR="002407A9">
        <w:rPr>
          <w:rFonts w:ascii="Arial Narrow" w:hAnsi="Arial Narrow"/>
        </w:rPr>
        <w:t>for Yap (2013-2025)</w:t>
      </w:r>
      <w:r w:rsidR="002407A9" w:rsidRPr="00687C34">
        <w:rPr>
          <w:rFonts w:ascii="Arial Narrow" w:hAnsi="Arial Narrow"/>
        </w:rPr>
        <w:t>.</w:t>
      </w:r>
      <w:bookmarkEnd w:id="123"/>
      <w:r w:rsidR="002407A9" w:rsidRPr="003A568F">
        <w:rPr>
          <w:rFonts w:ascii="Arial Narrow" w:hAnsi="Arial Narrow"/>
        </w:rPr>
        <w:t xml:space="preserve"> </w:t>
      </w:r>
    </w:p>
    <w:p w14:paraId="19590120" w14:textId="75F71D53" w:rsidR="002407A9" w:rsidRPr="00EA65C9" w:rsidRDefault="002407A9" w:rsidP="002407A9">
      <w:pPr>
        <w:pStyle w:val="Caption"/>
        <w:ind w:firstLine="720"/>
        <w:rPr>
          <w:rFonts w:ascii="Arial Narrow" w:hAnsi="Arial Narrow"/>
        </w:rPr>
      </w:pPr>
      <w:r>
        <w:rPr>
          <w:rFonts w:ascii="Arial Narrow" w:hAnsi="Arial Narrow"/>
        </w:rPr>
        <w:t xml:space="preserve">Alt. text. Area chart showing the mean </w:t>
      </w:r>
      <w:r w:rsidRPr="00687C34">
        <w:rPr>
          <w:rFonts w:ascii="Arial Narrow" w:hAnsi="Arial Narrow"/>
        </w:rPr>
        <w:t>monthly precipitation</w:t>
      </w:r>
      <w:r>
        <w:rPr>
          <w:rFonts w:ascii="Arial Narrow" w:hAnsi="Arial Narrow"/>
        </w:rPr>
        <w:t xml:space="preserve"> (P)</w:t>
      </w:r>
      <w:r w:rsidRPr="00687C34">
        <w:rPr>
          <w:rFonts w:ascii="Arial Narrow" w:hAnsi="Arial Narrow"/>
        </w:rPr>
        <w:t xml:space="preserve"> and actual ET</w:t>
      </w:r>
      <w:r>
        <w:rPr>
          <w:rFonts w:ascii="Arial Narrow" w:hAnsi="Arial Narrow"/>
        </w:rPr>
        <w:t xml:space="preserve"> (ETa) in mm</w:t>
      </w:r>
      <w:r w:rsidRPr="00687C34">
        <w:rPr>
          <w:rFonts w:ascii="Arial Narrow" w:hAnsi="Arial Narrow"/>
        </w:rPr>
        <w:t xml:space="preserve"> </w:t>
      </w:r>
      <w:r>
        <w:rPr>
          <w:rFonts w:ascii="Arial Narrow" w:hAnsi="Arial Narrow"/>
        </w:rPr>
        <w:t>for Yap (2013-2025) with blue hatch lines and actual ET in mm in green (solid).</w:t>
      </w:r>
    </w:p>
    <w:p w14:paraId="6ABA9D26" w14:textId="77777777" w:rsidR="002407A9" w:rsidRDefault="002407A9" w:rsidP="002407A9">
      <w:pPr>
        <w:pStyle w:val="Caption"/>
      </w:pPr>
    </w:p>
    <w:p w14:paraId="1160801E" w14:textId="437337FD" w:rsidR="00957DB4" w:rsidRDefault="00C31AAA" w:rsidP="002407A9">
      <w:pPr>
        <w:pStyle w:val="Caption"/>
        <w:ind w:firstLine="720"/>
      </w:pPr>
      <w:r>
        <w:t xml:space="preserve">Annual </w:t>
      </w:r>
      <w:r w:rsidR="00957DB4">
        <w:t>ET totals on Yap remain comparatively stable from year to year, reflecting the influence of large‑scale atmospheric controls rather than local moisture availability alone (</w:t>
      </w:r>
      <w:r w:rsidR="003C7325">
        <w:fldChar w:fldCharType="begin"/>
      </w:r>
      <w:r w:rsidR="003C7325">
        <w:instrText xml:space="preserve"> REF _Ref226924550 \h </w:instrText>
      </w:r>
      <w:r w:rsidR="003C7325">
        <w:fldChar w:fldCharType="separate"/>
      </w:r>
      <w:r w:rsidR="00244816" w:rsidRPr="00734723">
        <w:rPr>
          <w:rFonts w:ascii="Arial Narrow" w:hAnsi="Arial Narrow"/>
        </w:rPr>
        <w:t xml:space="preserve">Figure </w:t>
      </w:r>
      <w:r w:rsidR="00244816">
        <w:rPr>
          <w:rFonts w:ascii="Arial Narrow" w:hAnsi="Arial Narrow"/>
          <w:noProof/>
        </w:rPr>
        <w:t>28</w:t>
      </w:r>
      <w:r w:rsidR="003C7325">
        <w:fldChar w:fldCharType="end"/>
      </w:r>
      <w:r w:rsidR="00957DB4">
        <w:t xml:space="preserve">). </w:t>
      </w:r>
    </w:p>
    <w:p w14:paraId="333EF597" w14:textId="437DB30F" w:rsidR="00957DB4" w:rsidRDefault="00FC7C7D" w:rsidP="00FC7C7D">
      <w:pPr>
        <w:pStyle w:val="BodyText"/>
        <w:ind w:firstLine="0"/>
      </w:pPr>
      <w:r>
        <w:rPr>
          <w:noProof/>
        </w:rPr>
        <w:drawing>
          <wp:inline distT="0" distB="0" distL="0" distR="0" wp14:anchorId="484B17D2" wp14:editId="0E4B0F0F">
            <wp:extent cx="5943600" cy="3135086"/>
            <wp:effectExtent l="0" t="0" r="0" b="8255"/>
            <wp:docPr id="1424180782" name="Chart 1">
              <a:extLst xmlns:a="http://schemas.openxmlformats.org/drawingml/2006/main">
                <a:ext uri="{FF2B5EF4-FFF2-40B4-BE49-F238E27FC236}">
                  <a16:creationId xmlns:a16="http://schemas.microsoft.com/office/drawing/2014/main" id="{8D684257-1DD0-4CFE-A95E-B45D54240988}"/>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inline>
        </w:drawing>
      </w:r>
    </w:p>
    <w:p w14:paraId="1B676EE7" w14:textId="07585AB1" w:rsidR="00734723" w:rsidRPr="00734723" w:rsidRDefault="00734723" w:rsidP="00734723">
      <w:pPr>
        <w:pStyle w:val="Caption"/>
        <w:rPr>
          <w:rFonts w:ascii="Arial Narrow" w:hAnsi="Arial Narrow"/>
        </w:rPr>
      </w:pPr>
      <w:bookmarkStart w:id="124" w:name="_Ref226924550"/>
      <w:bookmarkStart w:id="125" w:name="_Toc227410300"/>
      <w:r w:rsidRPr="00734723">
        <w:rPr>
          <w:rFonts w:ascii="Arial Narrow" w:hAnsi="Arial Narrow"/>
        </w:rPr>
        <w:t xml:space="preserve">Figure </w:t>
      </w:r>
      <w:r w:rsidRPr="00734723">
        <w:rPr>
          <w:rFonts w:ascii="Arial Narrow" w:hAnsi="Arial Narrow"/>
        </w:rPr>
        <w:fldChar w:fldCharType="begin"/>
      </w:r>
      <w:r w:rsidRPr="00734723">
        <w:rPr>
          <w:rFonts w:ascii="Arial Narrow" w:hAnsi="Arial Narrow"/>
        </w:rPr>
        <w:instrText xml:space="preserve"> SEQ Figure \* ARABIC </w:instrText>
      </w:r>
      <w:r w:rsidRPr="00734723">
        <w:rPr>
          <w:rFonts w:ascii="Arial Narrow" w:hAnsi="Arial Narrow"/>
        </w:rPr>
        <w:fldChar w:fldCharType="separate"/>
      </w:r>
      <w:r w:rsidR="00244816">
        <w:rPr>
          <w:rFonts w:ascii="Arial Narrow" w:hAnsi="Arial Narrow"/>
          <w:noProof/>
        </w:rPr>
        <w:t>28</w:t>
      </w:r>
      <w:r w:rsidRPr="00734723">
        <w:rPr>
          <w:rFonts w:ascii="Arial Narrow" w:hAnsi="Arial Narrow"/>
        </w:rPr>
        <w:fldChar w:fldCharType="end"/>
      </w:r>
      <w:bookmarkEnd w:id="124"/>
      <w:r w:rsidRPr="00734723">
        <w:rPr>
          <w:rFonts w:ascii="Arial Narrow" w:hAnsi="Arial Narrow"/>
        </w:rPr>
        <w:t>. Annual actual ET for years 2013 - 2025 in mm.</w:t>
      </w:r>
      <w:bookmarkEnd w:id="125"/>
      <w:r w:rsidR="00EF5C7D" w:rsidRPr="00734723">
        <w:rPr>
          <w:rFonts w:ascii="Arial Narrow" w:hAnsi="Arial Narrow"/>
        </w:rPr>
        <w:tab/>
      </w:r>
    </w:p>
    <w:p w14:paraId="2040C354" w14:textId="610BC3E7" w:rsidR="00EF5C7D" w:rsidRPr="009F43CC" w:rsidRDefault="00EF5C7D" w:rsidP="00734723">
      <w:pPr>
        <w:pStyle w:val="Caption"/>
        <w:ind w:firstLine="720"/>
        <w:rPr>
          <w:rFonts w:ascii="Arial Narrow" w:hAnsi="Arial Narrow"/>
        </w:rPr>
      </w:pPr>
      <w:r>
        <w:rPr>
          <w:rFonts w:ascii="Arial Narrow" w:hAnsi="Arial Narrow"/>
        </w:rPr>
        <w:t>Alt. text. Bar chart with a</w:t>
      </w:r>
      <w:r w:rsidRPr="00144922">
        <w:rPr>
          <w:rFonts w:ascii="Arial Narrow" w:hAnsi="Arial Narrow"/>
        </w:rPr>
        <w:t>nnual actual ET for years 2013 - 2025 in mm</w:t>
      </w:r>
      <w:r>
        <w:rPr>
          <w:rFonts w:ascii="Arial Narrow" w:hAnsi="Arial Narrow"/>
        </w:rPr>
        <w:t>.</w:t>
      </w:r>
    </w:p>
    <w:p w14:paraId="41468132" w14:textId="212F6B95" w:rsidR="00F12324" w:rsidRDefault="00F12324" w:rsidP="00F12324">
      <w:pPr>
        <w:pStyle w:val="BodyText"/>
      </w:pPr>
      <w:r>
        <w:t>The consistency of ET means that year‑to‑year differences in Yap’s hydrologic balance are driven primarily by precipitation fluctuations, not by changes in evaporative losses. In wet years, additional rainfall contributes directly to groundwater lens recharge and increased surface‑water availability because ET does not increase proportionally. In dry years, however, ET continues at near‑normal levels, drawing down soil moisture and accelerating the depletion of thin freshwater lenses.</w:t>
      </w:r>
    </w:p>
    <w:p w14:paraId="18387152" w14:textId="48D73A19" w:rsidR="0070468F" w:rsidRPr="00FD18F8" w:rsidRDefault="00F12324" w:rsidP="00F12324">
      <w:pPr>
        <w:pStyle w:val="BodyText"/>
      </w:pPr>
      <w:r>
        <w:t>This behavior underscores Yap’s heightened sensitivity to rainfall deficits. Because ET remains relatively steady even during drought, decreases in precipitation translate more directly into reduced groundwater storage and increased salinity risk. As a result, understanding both the stability of ET and the variability of precipitation is critical for managing Yap’s water resources, planning storage capacity, and anticipating the onset and severity of ENSO‑driven drought conditions.</w:t>
      </w:r>
    </w:p>
    <w:p w14:paraId="0F1EFDCA" w14:textId="38DCAFCB" w:rsidR="00D92AEE" w:rsidRDefault="00D92AEE" w:rsidP="00D92AEE">
      <w:pPr>
        <w:pStyle w:val="Head3"/>
      </w:pPr>
      <w:bookmarkStart w:id="126" w:name="_Toc228288448"/>
      <w:r w:rsidRPr="00FD18F8">
        <w:t>Water Balance</w:t>
      </w:r>
      <w:bookmarkEnd w:id="126"/>
    </w:p>
    <w:p w14:paraId="4E90DCBC" w14:textId="45FA018F" w:rsidR="006E31E2" w:rsidRDefault="006E31E2" w:rsidP="006E31E2">
      <w:pPr>
        <w:pStyle w:val="BodyText"/>
      </w:pPr>
      <w:r>
        <w:t xml:space="preserve">The water balance on Yap reflects the interaction between a </w:t>
      </w:r>
      <w:r w:rsidR="00ED15AA">
        <w:t>strong</w:t>
      </w:r>
      <w:r>
        <w:t xml:space="preserve"> seasonal precipitation regime, comparatively stable evapotranspiration, and the island’s limited capacity to store freshwater in its thin groundwater lenses and small watershed systems</w:t>
      </w:r>
      <w:r w:rsidR="00FD48F3">
        <w:t xml:space="preserve"> (</w:t>
      </w:r>
      <w:r w:rsidR="00FD48F3" w:rsidRPr="00FD48F3">
        <w:t>Shade and others, 1992</w:t>
      </w:r>
      <w:r w:rsidR="00FD48F3">
        <w:t>)</w:t>
      </w:r>
      <w:r>
        <w:t>. Because actual ET varies far less than rainfall, net water availability (precipitation minus actual ET) is controlled primarily by fluctuations in precipitation rather than by changes in atmospheric demand. As a result, Yap’s hydrologic system alternates between periods of substantial water surplus during the wet season and pronounced deficits during the dry season (</w:t>
      </w:r>
      <w:r w:rsidR="00711672">
        <w:fldChar w:fldCharType="begin"/>
      </w:r>
      <w:r w:rsidR="00711672">
        <w:instrText xml:space="preserve"> REF _Ref226924789 \h </w:instrText>
      </w:r>
      <w:r w:rsidR="00711672">
        <w:fldChar w:fldCharType="separate"/>
      </w:r>
      <w:r w:rsidR="00244816" w:rsidRPr="00711672">
        <w:rPr>
          <w:rFonts w:ascii="Arial Narrow" w:hAnsi="Arial Narrow"/>
        </w:rPr>
        <w:t xml:space="preserve">Figure </w:t>
      </w:r>
      <w:r w:rsidR="00244816">
        <w:rPr>
          <w:rFonts w:ascii="Arial Narrow" w:hAnsi="Arial Narrow"/>
          <w:noProof/>
        </w:rPr>
        <w:t>29</w:t>
      </w:r>
      <w:r w:rsidR="00711672">
        <w:fldChar w:fldCharType="end"/>
      </w:r>
      <w:r>
        <w:t>).</w:t>
      </w:r>
      <w:r w:rsidR="00A132E8">
        <w:t xml:space="preserve"> Extremely wet months with large surpluses occur when monsoon flows or tropical disturbances bring intense rainfall</w:t>
      </w:r>
      <w:r w:rsidR="00615CD2">
        <w:t>, such as in</w:t>
      </w:r>
      <w:r w:rsidR="00A132E8">
        <w:t xml:space="preserve"> October 2022 (8</w:t>
      </w:r>
      <w:r w:rsidR="004A2657">
        <w:t>00</w:t>
      </w:r>
      <w:r w:rsidR="00A132E8">
        <w:t xml:space="preserve"> mm)</w:t>
      </w:r>
      <w:r w:rsidR="00187BE5">
        <w:t xml:space="preserve"> or</w:t>
      </w:r>
      <w:r w:rsidR="008455FE">
        <w:t xml:space="preserve"> September </w:t>
      </w:r>
      <w:r w:rsidR="00AA6ACC">
        <w:t xml:space="preserve">2012 (702 mm) </w:t>
      </w:r>
      <w:r w:rsidR="00A132E8">
        <w:t>producing several hundred millimeters of net water in a single month. Conversely, very low‑surplus or deficit months commonly occur during January–April in El Niño years, including February–March 2019, and January–February 2024, when rainfall can briefly fall below 20–30 mm for the month. These extremes illustrate Yap’s strong sensitivity to large‑scale climate oscillations.</w:t>
      </w:r>
      <w:r w:rsidR="002C31BD">
        <w:rPr>
          <w:noProof/>
        </w:rPr>
        <w:drawing>
          <wp:inline distT="0" distB="0" distL="0" distR="0" wp14:anchorId="4FBC8B62" wp14:editId="448FF461">
            <wp:extent cx="6421755" cy="3515096"/>
            <wp:effectExtent l="0" t="0" r="0" b="0"/>
            <wp:docPr id="288745522" name="Chart 1">
              <a:extLst xmlns:a="http://schemas.openxmlformats.org/drawingml/2006/main">
                <a:ext uri="{FF2B5EF4-FFF2-40B4-BE49-F238E27FC236}">
                  <a16:creationId xmlns:a16="http://schemas.microsoft.com/office/drawing/2014/main" id="{90E8526E-0086-4FB4-9887-CFAF3223B533}"/>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inline>
        </w:drawing>
      </w:r>
    </w:p>
    <w:p w14:paraId="07CF6910" w14:textId="49A46FA7" w:rsidR="00711672" w:rsidRPr="00711672" w:rsidRDefault="00711672" w:rsidP="00711672">
      <w:pPr>
        <w:pStyle w:val="Caption"/>
        <w:rPr>
          <w:rFonts w:ascii="Arial Narrow" w:hAnsi="Arial Narrow"/>
        </w:rPr>
      </w:pPr>
      <w:bookmarkStart w:id="127" w:name="_Ref226924789"/>
      <w:bookmarkStart w:id="128" w:name="_Toc227410301"/>
      <w:r w:rsidRPr="00711672">
        <w:rPr>
          <w:rFonts w:ascii="Arial Narrow" w:hAnsi="Arial Narrow"/>
        </w:rPr>
        <w:t xml:space="preserve">Figure </w:t>
      </w:r>
      <w:r w:rsidRPr="00711672">
        <w:rPr>
          <w:rFonts w:ascii="Arial Narrow" w:hAnsi="Arial Narrow"/>
        </w:rPr>
        <w:fldChar w:fldCharType="begin"/>
      </w:r>
      <w:r w:rsidRPr="00711672">
        <w:rPr>
          <w:rFonts w:ascii="Arial Narrow" w:hAnsi="Arial Narrow"/>
        </w:rPr>
        <w:instrText xml:space="preserve"> SEQ Figure \* ARABIC </w:instrText>
      </w:r>
      <w:r w:rsidRPr="00711672">
        <w:rPr>
          <w:rFonts w:ascii="Arial Narrow" w:hAnsi="Arial Narrow"/>
        </w:rPr>
        <w:fldChar w:fldCharType="separate"/>
      </w:r>
      <w:r w:rsidR="00244816">
        <w:rPr>
          <w:rFonts w:ascii="Arial Narrow" w:hAnsi="Arial Narrow"/>
          <w:noProof/>
        </w:rPr>
        <w:t>29</w:t>
      </w:r>
      <w:r w:rsidRPr="00711672">
        <w:rPr>
          <w:rFonts w:ascii="Arial Narrow" w:hAnsi="Arial Narrow"/>
        </w:rPr>
        <w:fldChar w:fldCharType="end"/>
      </w:r>
      <w:bookmarkEnd w:id="127"/>
      <w:r w:rsidRPr="00711672">
        <w:rPr>
          <w:rFonts w:ascii="Arial Narrow" w:hAnsi="Arial Narrow"/>
        </w:rPr>
        <w:t>. Monthly net water availability for years 2012 - 2025 in mm.</w:t>
      </w:r>
      <w:bookmarkEnd w:id="128"/>
      <w:r w:rsidRPr="00711672">
        <w:rPr>
          <w:rFonts w:ascii="Arial Narrow" w:hAnsi="Arial Narrow"/>
        </w:rPr>
        <w:tab/>
      </w:r>
    </w:p>
    <w:p w14:paraId="2169F886" w14:textId="4A8FC041" w:rsidR="00711672" w:rsidRPr="00AF309D" w:rsidRDefault="00711672" w:rsidP="00711672">
      <w:pPr>
        <w:pStyle w:val="Caption"/>
        <w:ind w:firstLine="720"/>
        <w:rPr>
          <w:rFonts w:ascii="Arial Narrow" w:hAnsi="Arial Narrow"/>
        </w:rPr>
      </w:pPr>
      <w:r>
        <w:rPr>
          <w:rFonts w:ascii="Arial Narrow" w:hAnsi="Arial Narrow"/>
        </w:rPr>
        <w:t>Alt. text. Bar chart showing m</w:t>
      </w:r>
      <w:r w:rsidRPr="00233067">
        <w:rPr>
          <w:rFonts w:ascii="Arial Narrow" w:hAnsi="Arial Narrow"/>
        </w:rPr>
        <w:t>onthly net water availability for years 2012 - 2025 in mm.</w:t>
      </w:r>
    </w:p>
    <w:p w14:paraId="57ACE3A2" w14:textId="69D3D0D1" w:rsidR="005018A8" w:rsidRDefault="006E31E2" w:rsidP="006C7299">
      <w:pPr>
        <w:pStyle w:val="BodyText"/>
      </w:pPr>
      <w:r>
        <w:t>During the wet season, frequent rainfall and high humidity create consistently positive monthly water balances. In these months, precipitation routinely exceeds ET by several hundred millimeters, contributing to increased soil moisture, intermittent streamflow, and recharge of the island’s fragile freshwater lenses. Because ET does not rise proportionally during wetter periods, nearly all excess rainfall becomes available for hydrologic recharge, making these seasonal pulses essential for sustaining groundwater reserves and household storage systems during later dry months.</w:t>
      </w:r>
      <w:r w:rsidR="006C7299">
        <w:t xml:space="preserve"> </w:t>
      </w:r>
      <w:r>
        <w:t xml:space="preserve">In contrast, the dry season and ENSO‑related drought periods result in sharp reductions in net water availability. </w:t>
      </w:r>
      <w:r w:rsidR="005C7ADE">
        <w:t>Even as rainfall declines dramatically, ET continues at near‑normal levels, steadily depleting soil moisture and thinning groundwater lenses. This sustained atmospheric demand, combined with limited natural storage capacity, leads to rapid reductions in freshwater availability, increasing the risk of salinity intrusion and placing added pressure on rainwater‑harvesting systems. Yap’s small catchments, shallow lenses, and dependence on household storage amplify the severity of these seasonal shortfalls.</w:t>
      </w:r>
      <w:r w:rsidR="00F53289">
        <w:t xml:space="preserve"> Interannual variability further shapes Yap’s water balance (</w:t>
      </w:r>
      <w:r w:rsidR="00192CBF">
        <w:fldChar w:fldCharType="begin"/>
      </w:r>
      <w:r w:rsidR="00192CBF">
        <w:instrText xml:space="preserve"> REF _Ref226925153 \h </w:instrText>
      </w:r>
      <w:r w:rsidR="00192CBF">
        <w:fldChar w:fldCharType="separate"/>
      </w:r>
      <w:r w:rsidR="00244816" w:rsidRPr="000532EB">
        <w:rPr>
          <w:rFonts w:ascii="Arial Narrow" w:hAnsi="Arial Narrow"/>
        </w:rPr>
        <w:t xml:space="preserve">Figure </w:t>
      </w:r>
      <w:r w:rsidR="00244816">
        <w:rPr>
          <w:rFonts w:ascii="Arial Narrow" w:hAnsi="Arial Narrow"/>
          <w:noProof/>
        </w:rPr>
        <w:t>30</w:t>
      </w:r>
      <w:r w:rsidR="00192CBF">
        <w:fldChar w:fldCharType="end"/>
      </w:r>
      <w:r w:rsidR="00F53289">
        <w:t>). Wet years, such as 2014, 2017, 2022, with strong precipitation anomalies produce large annual surpluses that help maintain groundwater quality and improve water security across communities. Dry years, such as 2015, and 2019, can result in extended periods of minimal or negative net water availability, creating substantial stress on both natural water systems and community infrastructure.</w:t>
      </w:r>
    </w:p>
    <w:p w14:paraId="5179F5D1" w14:textId="37C03E0C" w:rsidR="005018A8" w:rsidRDefault="005018A8" w:rsidP="00465751">
      <w:pPr>
        <w:pStyle w:val="BodyText"/>
        <w:ind w:firstLine="0"/>
      </w:pPr>
    </w:p>
    <w:p w14:paraId="69F16341" w14:textId="16F63541" w:rsidR="00174932" w:rsidRDefault="00B93B80" w:rsidP="00465751">
      <w:pPr>
        <w:pStyle w:val="BodyText"/>
        <w:ind w:firstLine="0"/>
      </w:pPr>
      <w:r>
        <w:rPr>
          <w:noProof/>
        </w:rPr>
        <w:drawing>
          <wp:inline distT="0" distB="0" distL="0" distR="0" wp14:anchorId="7E65C3FE" wp14:editId="6A5CDB94">
            <wp:extent cx="5943600" cy="2936240"/>
            <wp:effectExtent l="0" t="0" r="0" b="0"/>
            <wp:docPr id="1230371842" name="Chart 1">
              <a:extLst xmlns:a="http://schemas.openxmlformats.org/drawingml/2006/main">
                <a:ext uri="{FF2B5EF4-FFF2-40B4-BE49-F238E27FC236}">
                  <a16:creationId xmlns:a16="http://schemas.microsoft.com/office/drawing/2014/main" id="{18FF806E-D90B-4E31-8FC2-5C0930293562}"/>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0"/>
              </a:graphicData>
            </a:graphic>
          </wp:inline>
        </w:drawing>
      </w:r>
    </w:p>
    <w:p w14:paraId="03A8448E" w14:textId="3E281620" w:rsidR="000532EB" w:rsidRPr="000532EB" w:rsidRDefault="00F53289" w:rsidP="00F53289">
      <w:pPr>
        <w:pStyle w:val="Caption"/>
        <w:rPr>
          <w:rFonts w:ascii="Arial Narrow" w:hAnsi="Arial Narrow"/>
        </w:rPr>
      </w:pPr>
      <w:bookmarkStart w:id="129" w:name="_Ref226925153"/>
      <w:bookmarkStart w:id="130" w:name="_Toc227410302"/>
      <w:r w:rsidRPr="000532EB">
        <w:rPr>
          <w:rFonts w:ascii="Arial Narrow" w:hAnsi="Arial Narrow"/>
        </w:rPr>
        <w:t xml:space="preserve">Figure </w:t>
      </w:r>
      <w:r w:rsidRPr="000532EB">
        <w:rPr>
          <w:rFonts w:ascii="Arial Narrow" w:hAnsi="Arial Narrow"/>
        </w:rPr>
        <w:fldChar w:fldCharType="begin"/>
      </w:r>
      <w:r w:rsidRPr="000532EB">
        <w:rPr>
          <w:rFonts w:ascii="Arial Narrow" w:hAnsi="Arial Narrow"/>
        </w:rPr>
        <w:instrText xml:space="preserve"> SEQ Figure \* ARABIC </w:instrText>
      </w:r>
      <w:r w:rsidRPr="000532EB">
        <w:rPr>
          <w:rFonts w:ascii="Arial Narrow" w:hAnsi="Arial Narrow"/>
        </w:rPr>
        <w:fldChar w:fldCharType="separate"/>
      </w:r>
      <w:r w:rsidR="00244816">
        <w:rPr>
          <w:rFonts w:ascii="Arial Narrow" w:hAnsi="Arial Narrow"/>
          <w:noProof/>
        </w:rPr>
        <w:t>30</w:t>
      </w:r>
      <w:r w:rsidRPr="000532EB">
        <w:rPr>
          <w:rFonts w:ascii="Arial Narrow" w:hAnsi="Arial Narrow"/>
        </w:rPr>
        <w:fldChar w:fldCharType="end"/>
      </w:r>
      <w:bookmarkEnd w:id="129"/>
      <w:r w:rsidRPr="000532EB">
        <w:rPr>
          <w:rFonts w:ascii="Arial Narrow" w:hAnsi="Arial Narrow"/>
        </w:rPr>
        <w:t>. Net water availability per year in mm.</w:t>
      </w:r>
      <w:bookmarkEnd w:id="130"/>
    </w:p>
    <w:p w14:paraId="0BBC3C55" w14:textId="248B00BE" w:rsidR="00711672" w:rsidRDefault="00711672" w:rsidP="000532EB">
      <w:pPr>
        <w:pStyle w:val="Caption"/>
        <w:ind w:firstLine="720"/>
        <w:rPr>
          <w:rFonts w:ascii="Arial Narrow" w:hAnsi="Arial Narrow"/>
        </w:rPr>
      </w:pPr>
      <w:r>
        <w:rPr>
          <w:rFonts w:ascii="Arial Narrow" w:hAnsi="Arial Narrow"/>
        </w:rPr>
        <w:t>Alt. text. Horizontal bar chart showing n</w:t>
      </w:r>
      <w:r w:rsidRPr="00AF309D">
        <w:rPr>
          <w:rFonts w:ascii="Arial Narrow" w:hAnsi="Arial Narrow"/>
        </w:rPr>
        <w:t>et water availability per year in mm</w:t>
      </w:r>
      <w:r>
        <w:rPr>
          <w:rFonts w:ascii="Arial Narrow" w:hAnsi="Arial Narrow"/>
        </w:rPr>
        <w:t xml:space="preserve"> for 2013 to 2024 starting with 2024 at the top.</w:t>
      </w:r>
    </w:p>
    <w:p w14:paraId="6412FBAA" w14:textId="4DD18BBB" w:rsidR="006E31E2" w:rsidRDefault="006E31E2" w:rsidP="00F53289">
      <w:pPr>
        <w:pStyle w:val="BodyText"/>
      </w:pPr>
      <w:r>
        <w:t>Because ET is relatively steady from year to year, these deficits arise almost entirely from precipitation shortages, underscoring Yap’s dependence on reliable rainfall for freshwater security.</w:t>
      </w:r>
    </w:p>
    <w:p w14:paraId="14D6E5F4" w14:textId="66D727D1" w:rsidR="004F0E7C" w:rsidRDefault="006E31E2" w:rsidP="006E31E2">
      <w:pPr>
        <w:pStyle w:val="BodyText"/>
      </w:pPr>
      <w:r>
        <w:t xml:space="preserve">Overall, Yap’s water balance demonstrates that the island’s hydrologic resilience hinges on effective rainwater capture, careful </w:t>
      </w:r>
      <w:r w:rsidR="00AF2B5F">
        <w:t>groundwater</w:t>
      </w:r>
      <w:r>
        <w:t xml:space="preserve"> stewardship, and proactive drought‑preparedness planning. The stability of ET simplifies long‑term water‑balance interpretation, but it also means that reductions in precipitation translate directly into reduced freshwater availability. Understanding these dynamics is essential for supporting sustainable water supply, anticipating drought impacts, and guiding investments in storage and climate‑resilient infrastructure.</w:t>
      </w:r>
    </w:p>
    <w:p w14:paraId="2DFE795D" w14:textId="77777777" w:rsidR="00C84A64" w:rsidRDefault="00C84A64" w:rsidP="00C84A64">
      <w:pPr>
        <w:pStyle w:val="Head3"/>
      </w:pPr>
      <w:bookmarkStart w:id="131" w:name="_Toc228288449"/>
      <w:r w:rsidRPr="004836C2">
        <w:t>Drought Monitoring</w:t>
      </w:r>
      <w:bookmarkEnd w:id="131"/>
    </w:p>
    <w:p w14:paraId="1682BFE7" w14:textId="77777777" w:rsidR="00C84A64" w:rsidRDefault="00C84A64" w:rsidP="00C84A64">
      <w:pPr>
        <w:rPr>
          <w:rFonts w:ascii="Arial" w:hAnsi="Arial" w:cs="Arial"/>
          <w:i/>
          <w:iCs/>
          <w:sz w:val="22"/>
          <w:szCs w:val="22"/>
        </w:rPr>
      </w:pPr>
      <w:r w:rsidRPr="00E86A5D">
        <w:rPr>
          <w:rFonts w:ascii="Arial" w:hAnsi="Arial" w:cs="Arial"/>
          <w:i/>
          <w:iCs/>
          <w:sz w:val="22"/>
          <w:szCs w:val="22"/>
        </w:rPr>
        <w:t xml:space="preserve">Rainfall Index </w:t>
      </w:r>
    </w:p>
    <w:p w14:paraId="0547851F" w14:textId="3BA8FC8F" w:rsidR="00101747" w:rsidRPr="00601071" w:rsidRDefault="00635D46" w:rsidP="00601071">
      <w:pPr>
        <w:rPr>
          <w:rFonts w:cs="Times New Roman"/>
        </w:rPr>
      </w:pPr>
      <w:r w:rsidRPr="00601071">
        <w:rPr>
          <w:rFonts w:cs="Times New Roman"/>
        </w:rPr>
        <w:t>The 1-month Rainfall Index time series for Yap (</w:t>
      </w:r>
      <w:r w:rsidR="00D52D64" w:rsidRPr="00601071">
        <w:rPr>
          <w:rFonts w:cs="Times New Roman"/>
        </w:rPr>
        <w:fldChar w:fldCharType="begin"/>
      </w:r>
      <w:r w:rsidR="00D52D64" w:rsidRPr="00601071">
        <w:rPr>
          <w:rFonts w:cs="Times New Roman"/>
        </w:rPr>
        <w:instrText xml:space="preserve"> REF _Ref227364163 \h </w:instrText>
      </w:r>
      <w:r w:rsidR="00601071" w:rsidRPr="00601071">
        <w:rPr>
          <w:rFonts w:cs="Times New Roman"/>
        </w:rPr>
        <w:instrText xml:space="preserve"> \* MERGEFORMAT </w:instrText>
      </w:r>
      <w:r w:rsidR="00D52D64" w:rsidRPr="00601071">
        <w:rPr>
          <w:rFonts w:cs="Times New Roman"/>
        </w:rPr>
      </w:r>
      <w:r w:rsidR="00D52D64" w:rsidRPr="00601071">
        <w:rPr>
          <w:rFonts w:cs="Times New Roman"/>
        </w:rPr>
        <w:fldChar w:fldCharType="separate"/>
      </w:r>
      <w:r w:rsidR="00244816" w:rsidRPr="00244816">
        <w:rPr>
          <w:rFonts w:cs="Times New Roman"/>
        </w:rPr>
        <w:t xml:space="preserve">Figure </w:t>
      </w:r>
      <w:r w:rsidR="00244816" w:rsidRPr="00244816">
        <w:rPr>
          <w:rFonts w:cs="Times New Roman"/>
          <w:noProof/>
        </w:rPr>
        <w:t>31</w:t>
      </w:r>
      <w:r w:rsidR="00D52D64" w:rsidRPr="00601071">
        <w:rPr>
          <w:rFonts w:cs="Times New Roman"/>
        </w:rPr>
        <w:fldChar w:fldCharType="end"/>
      </w:r>
      <w:r w:rsidRPr="00601071">
        <w:rPr>
          <w:rFonts w:cs="Times New Roman"/>
        </w:rPr>
        <w:t>A) shows substantial month-to-month variability, with frequent Drier classifications (63 of 314 months, 20 percent) and Dry classifications (64 months, 20 percent), yielding a combined below-Typical frequency of 40 percent. Wetter classifications occurred in 61 months (19 percent), indicating that above-normal precipitation months are nearly as common as below-normal months</w:t>
      </w:r>
      <w:r w:rsidR="008A7241" w:rsidRPr="00601071">
        <w:rPr>
          <w:rFonts w:cs="Times New Roman"/>
        </w:rPr>
        <w:t xml:space="preserve">, which is </w:t>
      </w:r>
      <w:r w:rsidRPr="00601071">
        <w:rPr>
          <w:rFonts w:cs="Times New Roman"/>
        </w:rPr>
        <w:t>consistent with the expected quintile distribution of approximately 20 percent per category. The departures from exact 20-percent splits arise because the baseline period (2000–2024, 25 years) produces only 25 observations per calendar month for computing quintile thresholds.</w:t>
      </w:r>
    </w:p>
    <w:p w14:paraId="620FA3E4" w14:textId="72AB475B" w:rsidR="00635D46" w:rsidRPr="00601071" w:rsidRDefault="00635D46" w:rsidP="00601071">
      <w:pPr>
        <w:ind w:firstLine="720"/>
        <w:rPr>
          <w:rFonts w:cs="Times New Roman"/>
        </w:rPr>
      </w:pPr>
      <w:r w:rsidRPr="00601071">
        <w:rPr>
          <w:rFonts w:cs="Times New Roman"/>
        </w:rPr>
        <w:t>The 3-month and 6-month windows (</w:t>
      </w:r>
      <w:r w:rsidR="006A347B" w:rsidRPr="00601071">
        <w:rPr>
          <w:rFonts w:cs="Times New Roman"/>
        </w:rPr>
        <w:fldChar w:fldCharType="begin"/>
      </w:r>
      <w:r w:rsidR="006A347B" w:rsidRPr="00601071">
        <w:rPr>
          <w:rFonts w:cs="Times New Roman"/>
        </w:rPr>
        <w:instrText xml:space="preserve"> REF _Ref227364163 \h </w:instrText>
      </w:r>
      <w:r w:rsidR="00601071" w:rsidRPr="00601071">
        <w:rPr>
          <w:rFonts w:cs="Times New Roman"/>
        </w:rPr>
        <w:instrText xml:space="preserve"> \* MERGEFORMAT </w:instrText>
      </w:r>
      <w:r w:rsidR="006A347B" w:rsidRPr="00601071">
        <w:rPr>
          <w:rFonts w:cs="Times New Roman"/>
        </w:rPr>
      </w:r>
      <w:r w:rsidR="006A347B" w:rsidRPr="00601071">
        <w:rPr>
          <w:rFonts w:cs="Times New Roman"/>
        </w:rPr>
        <w:fldChar w:fldCharType="separate"/>
      </w:r>
      <w:r w:rsidR="00244816" w:rsidRPr="00244816">
        <w:rPr>
          <w:rFonts w:cs="Times New Roman"/>
        </w:rPr>
        <w:t xml:space="preserve">Figure </w:t>
      </w:r>
      <w:r w:rsidR="00244816" w:rsidRPr="00244816">
        <w:rPr>
          <w:rFonts w:cs="Times New Roman"/>
          <w:noProof/>
        </w:rPr>
        <w:t>31</w:t>
      </w:r>
      <w:r w:rsidR="006A347B" w:rsidRPr="00601071">
        <w:rPr>
          <w:rFonts w:cs="Times New Roman"/>
        </w:rPr>
        <w:fldChar w:fldCharType="end"/>
      </w:r>
      <w:r w:rsidR="00081EB3" w:rsidRPr="00601071">
        <w:rPr>
          <w:rFonts w:cs="Times New Roman"/>
        </w:rPr>
        <w:t xml:space="preserve"> </w:t>
      </w:r>
      <w:r w:rsidRPr="00601071">
        <w:rPr>
          <w:rFonts w:cs="Times New Roman"/>
        </w:rPr>
        <w:t>B, C) provide smoothed perspectives on cumulative precipitation patterns. At the 6-month timescale, Drier classifications (65 months) and Dry classifications (66 months) together account for 42 percent of all observations, indicating that sustained multi-month deficits are a recurring feature at Yap. The PEAC 4/8-inch index classified 58 months (18 percent) as Red (below 4 inches), the highest proportion among the four FSM sites, and 81 months (26 percent) as Yellow.</w:t>
      </w:r>
    </w:p>
    <w:p w14:paraId="1AAB85CA" w14:textId="77777777" w:rsidR="00635D46" w:rsidRDefault="00635D46" w:rsidP="00635D46">
      <w:pPr>
        <w:keepNext/>
        <w:spacing w:before="160" w:after="60"/>
      </w:pPr>
      <w:r>
        <w:rPr>
          <w:noProof/>
        </w:rPr>
        <w:drawing>
          <wp:inline distT="0" distB="0" distL="0" distR="0" wp14:anchorId="6FBE8476" wp14:editId="7AEC895E">
            <wp:extent cx="5715000" cy="4953000"/>
            <wp:effectExtent l="0" t="0" r="0" b="0"/>
            <wp:docPr id="259364408" name="Yap RI Time Series" descr="Three-panel quintile-based Rainfall Index time series for Yap." title="Yap RI Time Seri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41"/>
                    <a:srcRect/>
                    <a:stretch>
                      <a:fillRect/>
                    </a:stretch>
                  </pic:blipFill>
                  <pic:spPr bwMode="auto">
                    <a:xfrm>
                      <a:off x="0" y="0"/>
                      <a:ext cx="5715000" cy="4953000"/>
                    </a:xfrm>
                    <a:prstGeom prst="rect">
                      <a:avLst/>
                    </a:prstGeom>
                  </pic:spPr>
                </pic:pic>
              </a:graphicData>
            </a:graphic>
          </wp:inline>
        </w:drawing>
      </w:r>
    </w:p>
    <w:p w14:paraId="2FC570BC" w14:textId="38250D78" w:rsidR="00635D46" w:rsidRPr="00787967" w:rsidRDefault="00635D46" w:rsidP="00787967">
      <w:pPr>
        <w:pStyle w:val="Caption"/>
      </w:pPr>
      <w:bookmarkStart w:id="132" w:name="_Ref227364163"/>
      <w:bookmarkStart w:id="133" w:name="_Toc227410303"/>
      <w:r>
        <w:t xml:space="preserve">Figure </w:t>
      </w:r>
      <w:r>
        <w:fldChar w:fldCharType="begin"/>
      </w:r>
      <w:r>
        <w:instrText xml:space="preserve"> SEQ Figure \* ARABIC </w:instrText>
      </w:r>
      <w:r>
        <w:fldChar w:fldCharType="separate"/>
      </w:r>
      <w:r w:rsidR="00244816">
        <w:rPr>
          <w:noProof/>
        </w:rPr>
        <w:t>31</w:t>
      </w:r>
      <w:r>
        <w:fldChar w:fldCharType="end"/>
      </w:r>
      <w:bookmarkEnd w:id="132"/>
      <w:r>
        <w:t xml:space="preserve">. </w:t>
      </w:r>
      <w:r w:rsidRPr="002C6938">
        <w:t xml:space="preserve">Quintile-based Rainfall Index time series for Yap showing (A) 1-month, (B) 3-month, and (C) 6-month accumulation windows. Bars represent observed precipitation (or rolling sums) color-coded by quintile category. </w:t>
      </w:r>
      <w:r w:rsidR="00B761D8" w:rsidRPr="00B761D8">
        <w:t>The dashed line shows the baseline median for each calendar month.</w:t>
      </w:r>
      <w:bookmarkEnd w:id="133"/>
    </w:p>
    <w:p w14:paraId="3108AF99" w14:textId="77777777" w:rsidR="00C84A64" w:rsidRDefault="00C84A64" w:rsidP="00C84A64">
      <w:pPr>
        <w:spacing w:before="240" w:after="0"/>
        <w:rPr>
          <w:rFonts w:ascii="Arial" w:hAnsi="Arial" w:cs="Arial"/>
          <w:i/>
          <w:iCs/>
          <w:sz w:val="22"/>
          <w:szCs w:val="22"/>
        </w:rPr>
      </w:pPr>
      <w:r w:rsidRPr="004C2480">
        <w:rPr>
          <w:rFonts w:ascii="Arial" w:hAnsi="Arial" w:cs="Arial"/>
          <w:i/>
          <w:iCs/>
          <w:sz w:val="22"/>
          <w:szCs w:val="22"/>
        </w:rPr>
        <w:t>Notable Drought Episodes</w:t>
      </w:r>
    </w:p>
    <w:p w14:paraId="7B26B8FB" w14:textId="77777777" w:rsidR="0039217D" w:rsidRDefault="00787967" w:rsidP="00820903">
      <w:r>
        <w:t xml:space="preserve">The most severe sustained drought at Yap in the 25-year record occurred from October 2015 through September 2016. During this period, the 1-month Rainfall Index classified 7 consecutive months (October 2015 through April 2016) as Drier or Dry, with 6 of those months in the Drier category. All 7 of those months also received a Drier classification at the 3-month window, and 6 months at the 6-month window. The PEAC index classified 6 months as Red during this period, with a minimum monthly precipitation of just 4.0 millimeters. A subsequent 4-month Drier/Dry period from June through September 2016 extended the </w:t>
      </w:r>
      <w:proofErr w:type="gramStart"/>
      <w:r>
        <w:t>drought impact</w:t>
      </w:r>
      <w:proofErr w:type="gramEnd"/>
      <w:r>
        <w:t>.</w:t>
      </w:r>
    </w:p>
    <w:p w14:paraId="17937EC1" w14:textId="77777777" w:rsidR="00787967" w:rsidRDefault="00787967" w:rsidP="0039217D">
      <w:pPr>
        <w:ind w:firstLine="720"/>
      </w:pPr>
      <w:r>
        <w:t>A second prolonged episode from January 2019 through October 2020 included two distinct clusters of consecutive Drier/Dry months: February through May 2019 (4 months, minimum precipitation 11.5 millimeters, 3 PEAC-Red months) and January through April 2020 (4 months, minimum 24.5 millimeters, 4 PEAC-Red months), interspersed by only brief recovery. At the 6-month window, persistent Drier and Dry classifications spanned much of this period, indicating sustained cumulative deficits. Additional notable events include October 2002 through March 2003 (6 consecutive Drier/Dry months, 3 PEAC-Red) and February through June 2024 (5 months, minimum 15.5 millimeters, 3 PEAC-Red).</w:t>
      </w:r>
    </w:p>
    <w:p w14:paraId="731C23BC" w14:textId="39D03D18" w:rsidR="00171CE0" w:rsidRPr="00171CE0" w:rsidRDefault="00171CE0" w:rsidP="00171CE0">
      <w:pPr>
        <w:pStyle w:val="Caption"/>
        <w:keepNext/>
        <w:rPr>
          <w:rFonts w:ascii="Arial Narrow" w:hAnsi="Arial Narrow"/>
          <w:szCs w:val="24"/>
        </w:rPr>
      </w:pPr>
      <w:bookmarkStart w:id="134" w:name="_Toc228288468"/>
      <w:r w:rsidRPr="00171CE0">
        <w:rPr>
          <w:rFonts w:ascii="Arial Narrow" w:hAnsi="Arial Narrow"/>
          <w:szCs w:val="24"/>
        </w:rPr>
        <w:t xml:space="preserve">Table </w:t>
      </w:r>
      <w:r w:rsidRPr="00171CE0">
        <w:rPr>
          <w:rFonts w:ascii="Arial Narrow" w:hAnsi="Arial Narrow"/>
          <w:szCs w:val="24"/>
        </w:rPr>
        <w:fldChar w:fldCharType="begin"/>
      </w:r>
      <w:r w:rsidRPr="00171CE0">
        <w:rPr>
          <w:rFonts w:ascii="Arial Narrow" w:hAnsi="Arial Narrow"/>
          <w:szCs w:val="24"/>
        </w:rPr>
        <w:instrText xml:space="preserve"> SEQ Table \* ARABIC </w:instrText>
      </w:r>
      <w:r w:rsidRPr="00171CE0">
        <w:rPr>
          <w:rFonts w:ascii="Arial Narrow" w:hAnsi="Arial Narrow"/>
          <w:szCs w:val="24"/>
        </w:rPr>
        <w:fldChar w:fldCharType="separate"/>
      </w:r>
      <w:r w:rsidR="00244816">
        <w:rPr>
          <w:rFonts w:ascii="Arial Narrow" w:hAnsi="Arial Narrow"/>
          <w:noProof/>
          <w:szCs w:val="24"/>
        </w:rPr>
        <w:t>8</w:t>
      </w:r>
      <w:r w:rsidRPr="00171CE0">
        <w:rPr>
          <w:rFonts w:ascii="Arial Narrow" w:hAnsi="Arial Narrow"/>
          <w:szCs w:val="24"/>
        </w:rPr>
        <w:fldChar w:fldCharType="end"/>
      </w:r>
      <w:r w:rsidRPr="00171CE0">
        <w:rPr>
          <w:rFonts w:ascii="Arial Narrow" w:hAnsi="Arial Narrow"/>
          <w:szCs w:val="24"/>
        </w:rPr>
        <w:t>. Summary of notable drought episodes at Yap, defined as three or more consecutive months classified as Drier or Dry at the 1-month Rainfall Index.</w:t>
      </w:r>
      <w:bookmarkEnd w:id="134"/>
    </w:p>
    <w:tbl>
      <w:tblPr>
        <w:tblStyle w:val="TableGrid"/>
        <w:tblW w:w="9360" w:type="dxa"/>
        <w:tblLook w:val="04A0" w:firstRow="1" w:lastRow="0" w:firstColumn="1" w:lastColumn="0" w:noHBand="0" w:noVBand="1"/>
      </w:tblPr>
      <w:tblGrid>
        <w:gridCol w:w="2155"/>
        <w:gridCol w:w="1645"/>
        <w:gridCol w:w="1685"/>
        <w:gridCol w:w="1915"/>
        <w:gridCol w:w="1960"/>
      </w:tblGrid>
      <w:tr w:rsidR="00787967" w:rsidRPr="00171CE0" w14:paraId="422ACDB9" w14:textId="77777777" w:rsidTr="00171CE0">
        <w:tc>
          <w:tcPr>
            <w:tcW w:w="2155" w:type="dxa"/>
          </w:tcPr>
          <w:p w14:paraId="10727879" w14:textId="77777777" w:rsidR="00787967" w:rsidRPr="00171CE0" w:rsidRDefault="00787967">
            <w:pPr>
              <w:rPr>
                <w:rFonts w:ascii="Arial Narrow" w:hAnsi="Arial Narrow"/>
              </w:rPr>
            </w:pPr>
            <w:r w:rsidRPr="00171CE0">
              <w:rPr>
                <w:rFonts w:ascii="Arial Narrow" w:hAnsi="Arial Narrow"/>
                <w:b/>
                <w:bCs/>
              </w:rPr>
              <w:t>Episode</w:t>
            </w:r>
          </w:p>
        </w:tc>
        <w:tc>
          <w:tcPr>
            <w:tcW w:w="1645" w:type="dxa"/>
          </w:tcPr>
          <w:p w14:paraId="128482F1" w14:textId="77777777" w:rsidR="00787967" w:rsidRPr="00171CE0" w:rsidRDefault="00787967">
            <w:pPr>
              <w:rPr>
                <w:rFonts w:ascii="Arial Narrow" w:hAnsi="Arial Narrow"/>
              </w:rPr>
            </w:pPr>
            <w:r w:rsidRPr="00171CE0">
              <w:rPr>
                <w:rFonts w:ascii="Arial Narrow" w:hAnsi="Arial Narrow"/>
                <w:b/>
                <w:bCs/>
              </w:rPr>
              <w:t>Duration (months)</w:t>
            </w:r>
          </w:p>
        </w:tc>
        <w:tc>
          <w:tcPr>
            <w:tcW w:w="1685" w:type="dxa"/>
          </w:tcPr>
          <w:p w14:paraId="00A007E2" w14:textId="77777777" w:rsidR="00787967" w:rsidRPr="00171CE0" w:rsidRDefault="00787967">
            <w:pPr>
              <w:rPr>
                <w:rFonts w:ascii="Arial Narrow" w:hAnsi="Arial Narrow"/>
              </w:rPr>
            </w:pPr>
            <w:r w:rsidRPr="00171CE0">
              <w:rPr>
                <w:rFonts w:ascii="Arial Narrow" w:hAnsi="Arial Narrow"/>
                <w:b/>
                <w:bCs/>
              </w:rPr>
              <w:t>Drier Months (1-mo)</w:t>
            </w:r>
          </w:p>
        </w:tc>
        <w:tc>
          <w:tcPr>
            <w:tcW w:w="1915" w:type="dxa"/>
          </w:tcPr>
          <w:p w14:paraId="165B22A6" w14:textId="77777777" w:rsidR="00787967" w:rsidRPr="00171CE0" w:rsidRDefault="00787967">
            <w:pPr>
              <w:rPr>
                <w:rFonts w:ascii="Arial Narrow" w:hAnsi="Arial Narrow"/>
              </w:rPr>
            </w:pPr>
            <w:r w:rsidRPr="00171CE0">
              <w:rPr>
                <w:rFonts w:ascii="Arial Narrow" w:hAnsi="Arial Narrow"/>
                <w:b/>
                <w:bCs/>
              </w:rPr>
              <w:t>PEAC-Red Months</w:t>
            </w:r>
          </w:p>
        </w:tc>
        <w:tc>
          <w:tcPr>
            <w:tcW w:w="1960" w:type="dxa"/>
          </w:tcPr>
          <w:p w14:paraId="414D00F7" w14:textId="77777777" w:rsidR="00787967" w:rsidRPr="00171CE0" w:rsidRDefault="00787967">
            <w:pPr>
              <w:rPr>
                <w:rFonts w:ascii="Arial Narrow" w:hAnsi="Arial Narrow"/>
              </w:rPr>
            </w:pPr>
            <w:r w:rsidRPr="00171CE0">
              <w:rPr>
                <w:rFonts w:ascii="Arial Narrow" w:hAnsi="Arial Narrow"/>
                <w:b/>
                <w:bCs/>
              </w:rPr>
              <w:t>Min Precip. (mm)</w:t>
            </w:r>
          </w:p>
        </w:tc>
      </w:tr>
      <w:tr w:rsidR="00787967" w:rsidRPr="00171CE0" w14:paraId="089E237B" w14:textId="77777777" w:rsidTr="00171CE0">
        <w:tc>
          <w:tcPr>
            <w:tcW w:w="2155" w:type="dxa"/>
          </w:tcPr>
          <w:p w14:paraId="7F230706" w14:textId="77777777" w:rsidR="00787967" w:rsidRPr="00171CE0" w:rsidRDefault="00787967">
            <w:pPr>
              <w:rPr>
                <w:rFonts w:ascii="Arial Narrow" w:hAnsi="Arial Narrow"/>
              </w:rPr>
            </w:pPr>
            <w:r w:rsidRPr="00171CE0">
              <w:rPr>
                <w:rFonts w:ascii="Arial Narrow" w:hAnsi="Arial Narrow"/>
              </w:rPr>
              <w:t>Oct 2015 – Apr 2016</w:t>
            </w:r>
          </w:p>
        </w:tc>
        <w:tc>
          <w:tcPr>
            <w:tcW w:w="1645" w:type="dxa"/>
          </w:tcPr>
          <w:p w14:paraId="7DD162B1" w14:textId="77777777" w:rsidR="00787967" w:rsidRPr="00171CE0" w:rsidRDefault="00787967">
            <w:pPr>
              <w:rPr>
                <w:rFonts w:ascii="Arial Narrow" w:hAnsi="Arial Narrow"/>
              </w:rPr>
            </w:pPr>
            <w:r w:rsidRPr="00171CE0">
              <w:rPr>
                <w:rFonts w:ascii="Arial Narrow" w:hAnsi="Arial Narrow"/>
              </w:rPr>
              <w:t>7</w:t>
            </w:r>
          </w:p>
        </w:tc>
        <w:tc>
          <w:tcPr>
            <w:tcW w:w="1685" w:type="dxa"/>
          </w:tcPr>
          <w:p w14:paraId="64C427B2" w14:textId="77777777" w:rsidR="00787967" w:rsidRPr="00171CE0" w:rsidRDefault="00787967">
            <w:pPr>
              <w:rPr>
                <w:rFonts w:ascii="Arial Narrow" w:hAnsi="Arial Narrow"/>
              </w:rPr>
            </w:pPr>
            <w:r w:rsidRPr="00171CE0">
              <w:rPr>
                <w:rFonts w:ascii="Arial Narrow" w:hAnsi="Arial Narrow"/>
              </w:rPr>
              <w:t>6</w:t>
            </w:r>
          </w:p>
        </w:tc>
        <w:tc>
          <w:tcPr>
            <w:tcW w:w="1915" w:type="dxa"/>
          </w:tcPr>
          <w:p w14:paraId="5433BA32" w14:textId="77777777" w:rsidR="00787967" w:rsidRPr="00171CE0" w:rsidRDefault="00787967">
            <w:pPr>
              <w:rPr>
                <w:rFonts w:ascii="Arial Narrow" w:hAnsi="Arial Narrow"/>
              </w:rPr>
            </w:pPr>
            <w:r w:rsidRPr="00171CE0">
              <w:rPr>
                <w:rFonts w:ascii="Arial Narrow" w:hAnsi="Arial Narrow"/>
              </w:rPr>
              <w:t>6</w:t>
            </w:r>
          </w:p>
        </w:tc>
        <w:tc>
          <w:tcPr>
            <w:tcW w:w="1960" w:type="dxa"/>
          </w:tcPr>
          <w:p w14:paraId="5F7AE488" w14:textId="77777777" w:rsidR="00787967" w:rsidRPr="00171CE0" w:rsidRDefault="00787967">
            <w:pPr>
              <w:rPr>
                <w:rFonts w:ascii="Arial Narrow" w:hAnsi="Arial Narrow"/>
              </w:rPr>
            </w:pPr>
            <w:r w:rsidRPr="00171CE0">
              <w:rPr>
                <w:rFonts w:ascii="Arial Narrow" w:hAnsi="Arial Narrow"/>
              </w:rPr>
              <w:t>4.0</w:t>
            </w:r>
          </w:p>
        </w:tc>
      </w:tr>
      <w:tr w:rsidR="00787967" w:rsidRPr="00171CE0" w14:paraId="5F463EF8" w14:textId="77777777" w:rsidTr="00171CE0">
        <w:tc>
          <w:tcPr>
            <w:tcW w:w="2155" w:type="dxa"/>
          </w:tcPr>
          <w:p w14:paraId="35C3D2A4" w14:textId="77777777" w:rsidR="00787967" w:rsidRPr="00171CE0" w:rsidRDefault="00787967">
            <w:pPr>
              <w:rPr>
                <w:rFonts w:ascii="Arial Narrow" w:hAnsi="Arial Narrow"/>
              </w:rPr>
            </w:pPr>
            <w:r w:rsidRPr="00171CE0">
              <w:rPr>
                <w:rFonts w:ascii="Arial Narrow" w:hAnsi="Arial Narrow"/>
              </w:rPr>
              <w:t>Feb 2019 – May 2019</w:t>
            </w:r>
          </w:p>
        </w:tc>
        <w:tc>
          <w:tcPr>
            <w:tcW w:w="1645" w:type="dxa"/>
          </w:tcPr>
          <w:p w14:paraId="3474B6D2" w14:textId="77777777" w:rsidR="00787967" w:rsidRPr="00171CE0" w:rsidRDefault="00787967">
            <w:pPr>
              <w:rPr>
                <w:rFonts w:ascii="Arial Narrow" w:hAnsi="Arial Narrow"/>
              </w:rPr>
            </w:pPr>
            <w:r w:rsidRPr="00171CE0">
              <w:rPr>
                <w:rFonts w:ascii="Arial Narrow" w:hAnsi="Arial Narrow"/>
              </w:rPr>
              <w:t>4</w:t>
            </w:r>
          </w:p>
        </w:tc>
        <w:tc>
          <w:tcPr>
            <w:tcW w:w="1685" w:type="dxa"/>
          </w:tcPr>
          <w:p w14:paraId="7C965693" w14:textId="77777777" w:rsidR="00787967" w:rsidRPr="00171CE0" w:rsidRDefault="00787967">
            <w:pPr>
              <w:rPr>
                <w:rFonts w:ascii="Arial Narrow" w:hAnsi="Arial Narrow"/>
              </w:rPr>
            </w:pPr>
            <w:r w:rsidRPr="00171CE0">
              <w:rPr>
                <w:rFonts w:ascii="Arial Narrow" w:hAnsi="Arial Narrow"/>
              </w:rPr>
              <w:t>3</w:t>
            </w:r>
          </w:p>
        </w:tc>
        <w:tc>
          <w:tcPr>
            <w:tcW w:w="1915" w:type="dxa"/>
          </w:tcPr>
          <w:p w14:paraId="2E843FC3" w14:textId="77777777" w:rsidR="00787967" w:rsidRPr="00171CE0" w:rsidRDefault="00787967">
            <w:pPr>
              <w:rPr>
                <w:rFonts w:ascii="Arial Narrow" w:hAnsi="Arial Narrow"/>
              </w:rPr>
            </w:pPr>
            <w:r w:rsidRPr="00171CE0">
              <w:rPr>
                <w:rFonts w:ascii="Arial Narrow" w:hAnsi="Arial Narrow"/>
              </w:rPr>
              <w:t>3</w:t>
            </w:r>
          </w:p>
        </w:tc>
        <w:tc>
          <w:tcPr>
            <w:tcW w:w="1960" w:type="dxa"/>
          </w:tcPr>
          <w:p w14:paraId="228EE725" w14:textId="77777777" w:rsidR="00787967" w:rsidRPr="00171CE0" w:rsidRDefault="00787967">
            <w:pPr>
              <w:rPr>
                <w:rFonts w:ascii="Arial Narrow" w:hAnsi="Arial Narrow"/>
              </w:rPr>
            </w:pPr>
            <w:r w:rsidRPr="00171CE0">
              <w:rPr>
                <w:rFonts w:ascii="Arial Narrow" w:hAnsi="Arial Narrow"/>
              </w:rPr>
              <w:t>11.5</w:t>
            </w:r>
          </w:p>
        </w:tc>
      </w:tr>
      <w:tr w:rsidR="00787967" w:rsidRPr="00171CE0" w14:paraId="2099FB99" w14:textId="77777777" w:rsidTr="00171CE0">
        <w:tc>
          <w:tcPr>
            <w:tcW w:w="2155" w:type="dxa"/>
          </w:tcPr>
          <w:p w14:paraId="24EAA9B4" w14:textId="77777777" w:rsidR="00787967" w:rsidRPr="00171CE0" w:rsidRDefault="00787967">
            <w:pPr>
              <w:rPr>
                <w:rFonts w:ascii="Arial Narrow" w:hAnsi="Arial Narrow"/>
              </w:rPr>
            </w:pPr>
            <w:r w:rsidRPr="00171CE0">
              <w:rPr>
                <w:rFonts w:ascii="Arial Narrow" w:hAnsi="Arial Narrow"/>
              </w:rPr>
              <w:t>Jan 2020 – Apr 2020</w:t>
            </w:r>
          </w:p>
        </w:tc>
        <w:tc>
          <w:tcPr>
            <w:tcW w:w="1645" w:type="dxa"/>
          </w:tcPr>
          <w:p w14:paraId="597D30A9" w14:textId="77777777" w:rsidR="00787967" w:rsidRPr="00171CE0" w:rsidRDefault="00787967">
            <w:pPr>
              <w:rPr>
                <w:rFonts w:ascii="Arial Narrow" w:hAnsi="Arial Narrow"/>
              </w:rPr>
            </w:pPr>
            <w:r w:rsidRPr="00171CE0">
              <w:rPr>
                <w:rFonts w:ascii="Arial Narrow" w:hAnsi="Arial Narrow"/>
              </w:rPr>
              <w:t>4</w:t>
            </w:r>
          </w:p>
        </w:tc>
        <w:tc>
          <w:tcPr>
            <w:tcW w:w="1685" w:type="dxa"/>
          </w:tcPr>
          <w:p w14:paraId="32C0AE2B" w14:textId="77777777" w:rsidR="00787967" w:rsidRPr="00171CE0" w:rsidRDefault="00787967">
            <w:pPr>
              <w:rPr>
                <w:rFonts w:ascii="Arial Narrow" w:hAnsi="Arial Narrow"/>
              </w:rPr>
            </w:pPr>
            <w:r w:rsidRPr="00171CE0">
              <w:rPr>
                <w:rFonts w:ascii="Arial Narrow" w:hAnsi="Arial Narrow"/>
              </w:rPr>
              <w:t>3</w:t>
            </w:r>
          </w:p>
        </w:tc>
        <w:tc>
          <w:tcPr>
            <w:tcW w:w="1915" w:type="dxa"/>
          </w:tcPr>
          <w:p w14:paraId="24E67B3E" w14:textId="77777777" w:rsidR="00787967" w:rsidRPr="00171CE0" w:rsidRDefault="00787967">
            <w:pPr>
              <w:rPr>
                <w:rFonts w:ascii="Arial Narrow" w:hAnsi="Arial Narrow"/>
              </w:rPr>
            </w:pPr>
            <w:r w:rsidRPr="00171CE0">
              <w:rPr>
                <w:rFonts w:ascii="Arial Narrow" w:hAnsi="Arial Narrow"/>
              </w:rPr>
              <w:t>4</w:t>
            </w:r>
          </w:p>
        </w:tc>
        <w:tc>
          <w:tcPr>
            <w:tcW w:w="1960" w:type="dxa"/>
          </w:tcPr>
          <w:p w14:paraId="3912C846" w14:textId="77777777" w:rsidR="00787967" w:rsidRPr="00171CE0" w:rsidRDefault="00787967">
            <w:pPr>
              <w:rPr>
                <w:rFonts w:ascii="Arial Narrow" w:hAnsi="Arial Narrow"/>
              </w:rPr>
            </w:pPr>
            <w:r w:rsidRPr="00171CE0">
              <w:rPr>
                <w:rFonts w:ascii="Arial Narrow" w:hAnsi="Arial Narrow"/>
              </w:rPr>
              <w:t>24.5</w:t>
            </w:r>
          </w:p>
        </w:tc>
      </w:tr>
      <w:tr w:rsidR="00787967" w:rsidRPr="00171CE0" w14:paraId="06253E7F" w14:textId="77777777" w:rsidTr="00171CE0">
        <w:tc>
          <w:tcPr>
            <w:tcW w:w="2155" w:type="dxa"/>
          </w:tcPr>
          <w:p w14:paraId="4E55F213" w14:textId="77777777" w:rsidR="00787967" w:rsidRPr="00171CE0" w:rsidRDefault="00787967">
            <w:pPr>
              <w:rPr>
                <w:rFonts w:ascii="Arial Narrow" w:hAnsi="Arial Narrow"/>
              </w:rPr>
            </w:pPr>
            <w:r w:rsidRPr="00171CE0">
              <w:rPr>
                <w:rFonts w:ascii="Arial Narrow" w:hAnsi="Arial Narrow"/>
              </w:rPr>
              <w:t>Oct 2002 – Mar 2003</w:t>
            </w:r>
          </w:p>
        </w:tc>
        <w:tc>
          <w:tcPr>
            <w:tcW w:w="1645" w:type="dxa"/>
          </w:tcPr>
          <w:p w14:paraId="5234A668" w14:textId="77777777" w:rsidR="00787967" w:rsidRPr="00171CE0" w:rsidRDefault="00787967">
            <w:pPr>
              <w:rPr>
                <w:rFonts w:ascii="Arial Narrow" w:hAnsi="Arial Narrow"/>
              </w:rPr>
            </w:pPr>
            <w:r w:rsidRPr="00171CE0">
              <w:rPr>
                <w:rFonts w:ascii="Arial Narrow" w:hAnsi="Arial Narrow"/>
              </w:rPr>
              <w:t>6</w:t>
            </w:r>
          </w:p>
        </w:tc>
        <w:tc>
          <w:tcPr>
            <w:tcW w:w="1685" w:type="dxa"/>
          </w:tcPr>
          <w:p w14:paraId="48E0C603" w14:textId="77777777" w:rsidR="00787967" w:rsidRPr="00171CE0" w:rsidRDefault="00787967">
            <w:pPr>
              <w:rPr>
                <w:rFonts w:ascii="Arial Narrow" w:hAnsi="Arial Narrow"/>
              </w:rPr>
            </w:pPr>
            <w:r w:rsidRPr="00171CE0">
              <w:rPr>
                <w:rFonts w:ascii="Arial Narrow" w:hAnsi="Arial Narrow"/>
              </w:rPr>
              <w:t>1</w:t>
            </w:r>
          </w:p>
        </w:tc>
        <w:tc>
          <w:tcPr>
            <w:tcW w:w="1915" w:type="dxa"/>
          </w:tcPr>
          <w:p w14:paraId="72193FF2" w14:textId="77777777" w:rsidR="00787967" w:rsidRPr="00171CE0" w:rsidRDefault="00787967">
            <w:pPr>
              <w:rPr>
                <w:rFonts w:ascii="Arial Narrow" w:hAnsi="Arial Narrow"/>
              </w:rPr>
            </w:pPr>
            <w:r w:rsidRPr="00171CE0">
              <w:rPr>
                <w:rFonts w:ascii="Arial Narrow" w:hAnsi="Arial Narrow"/>
              </w:rPr>
              <w:t>3</w:t>
            </w:r>
          </w:p>
        </w:tc>
        <w:tc>
          <w:tcPr>
            <w:tcW w:w="1960" w:type="dxa"/>
          </w:tcPr>
          <w:p w14:paraId="4DB72578" w14:textId="77777777" w:rsidR="00787967" w:rsidRPr="00171CE0" w:rsidRDefault="00787967">
            <w:pPr>
              <w:rPr>
                <w:rFonts w:ascii="Arial Narrow" w:hAnsi="Arial Narrow"/>
              </w:rPr>
            </w:pPr>
            <w:r w:rsidRPr="00171CE0">
              <w:rPr>
                <w:rFonts w:ascii="Arial Narrow" w:hAnsi="Arial Narrow"/>
              </w:rPr>
              <w:t>28.5</w:t>
            </w:r>
          </w:p>
        </w:tc>
      </w:tr>
      <w:tr w:rsidR="00787967" w:rsidRPr="00171CE0" w14:paraId="23C76896" w14:textId="77777777" w:rsidTr="00171CE0">
        <w:tc>
          <w:tcPr>
            <w:tcW w:w="2155" w:type="dxa"/>
          </w:tcPr>
          <w:p w14:paraId="5DDB2FB4" w14:textId="77777777" w:rsidR="00787967" w:rsidRPr="00171CE0" w:rsidRDefault="00787967">
            <w:pPr>
              <w:rPr>
                <w:rFonts w:ascii="Arial Narrow" w:hAnsi="Arial Narrow"/>
              </w:rPr>
            </w:pPr>
            <w:r w:rsidRPr="00171CE0">
              <w:rPr>
                <w:rFonts w:ascii="Arial Narrow" w:hAnsi="Arial Narrow"/>
              </w:rPr>
              <w:t>Feb 2024 – Jun 2024</w:t>
            </w:r>
          </w:p>
        </w:tc>
        <w:tc>
          <w:tcPr>
            <w:tcW w:w="1645" w:type="dxa"/>
          </w:tcPr>
          <w:p w14:paraId="3CC1F49E" w14:textId="77777777" w:rsidR="00787967" w:rsidRPr="00171CE0" w:rsidRDefault="00787967">
            <w:pPr>
              <w:rPr>
                <w:rFonts w:ascii="Arial Narrow" w:hAnsi="Arial Narrow"/>
              </w:rPr>
            </w:pPr>
            <w:r w:rsidRPr="00171CE0">
              <w:rPr>
                <w:rFonts w:ascii="Arial Narrow" w:hAnsi="Arial Narrow"/>
              </w:rPr>
              <w:t>5</w:t>
            </w:r>
          </w:p>
        </w:tc>
        <w:tc>
          <w:tcPr>
            <w:tcW w:w="1685" w:type="dxa"/>
          </w:tcPr>
          <w:p w14:paraId="77D21E46" w14:textId="77777777" w:rsidR="00787967" w:rsidRPr="00171CE0" w:rsidRDefault="00787967">
            <w:pPr>
              <w:rPr>
                <w:rFonts w:ascii="Arial Narrow" w:hAnsi="Arial Narrow"/>
              </w:rPr>
            </w:pPr>
            <w:r w:rsidRPr="00171CE0">
              <w:rPr>
                <w:rFonts w:ascii="Arial Narrow" w:hAnsi="Arial Narrow"/>
              </w:rPr>
              <w:t>4</w:t>
            </w:r>
          </w:p>
        </w:tc>
        <w:tc>
          <w:tcPr>
            <w:tcW w:w="1915" w:type="dxa"/>
          </w:tcPr>
          <w:p w14:paraId="52E04B34" w14:textId="77777777" w:rsidR="00787967" w:rsidRPr="00171CE0" w:rsidRDefault="00787967">
            <w:pPr>
              <w:rPr>
                <w:rFonts w:ascii="Arial Narrow" w:hAnsi="Arial Narrow"/>
              </w:rPr>
            </w:pPr>
            <w:r w:rsidRPr="00171CE0">
              <w:rPr>
                <w:rFonts w:ascii="Arial Narrow" w:hAnsi="Arial Narrow"/>
              </w:rPr>
              <w:t>3</w:t>
            </w:r>
          </w:p>
        </w:tc>
        <w:tc>
          <w:tcPr>
            <w:tcW w:w="1960" w:type="dxa"/>
          </w:tcPr>
          <w:p w14:paraId="01B1F9C3" w14:textId="77777777" w:rsidR="00787967" w:rsidRPr="00171CE0" w:rsidRDefault="00787967">
            <w:pPr>
              <w:rPr>
                <w:rFonts w:ascii="Arial Narrow" w:hAnsi="Arial Narrow"/>
              </w:rPr>
            </w:pPr>
            <w:r w:rsidRPr="00171CE0">
              <w:rPr>
                <w:rFonts w:ascii="Arial Narrow" w:hAnsi="Arial Narrow"/>
              </w:rPr>
              <w:t>15.5</w:t>
            </w:r>
          </w:p>
        </w:tc>
      </w:tr>
      <w:tr w:rsidR="00787967" w:rsidRPr="00171CE0" w14:paraId="5A316E6B" w14:textId="77777777" w:rsidTr="00171CE0">
        <w:tc>
          <w:tcPr>
            <w:tcW w:w="2155" w:type="dxa"/>
          </w:tcPr>
          <w:p w14:paraId="3404058E" w14:textId="77777777" w:rsidR="00787967" w:rsidRPr="00171CE0" w:rsidRDefault="00787967">
            <w:pPr>
              <w:rPr>
                <w:rFonts w:ascii="Arial Narrow" w:hAnsi="Arial Narrow"/>
              </w:rPr>
            </w:pPr>
            <w:r w:rsidRPr="00171CE0">
              <w:rPr>
                <w:rFonts w:ascii="Arial Narrow" w:hAnsi="Arial Narrow"/>
              </w:rPr>
              <w:t>Feb 2013 – May 2013</w:t>
            </w:r>
          </w:p>
        </w:tc>
        <w:tc>
          <w:tcPr>
            <w:tcW w:w="1645" w:type="dxa"/>
          </w:tcPr>
          <w:p w14:paraId="1955F8DF" w14:textId="77777777" w:rsidR="00787967" w:rsidRPr="00171CE0" w:rsidRDefault="00787967">
            <w:pPr>
              <w:rPr>
                <w:rFonts w:ascii="Arial Narrow" w:hAnsi="Arial Narrow"/>
              </w:rPr>
            </w:pPr>
            <w:r w:rsidRPr="00171CE0">
              <w:rPr>
                <w:rFonts w:ascii="Arial Narrow" w:hAnsi="Arial Narrow"/>
              </w:rPr>
              <w:t>4</w:t>
            </w:r>
          </w:p>
        </w:tc>
        <w:tc>
          <w:tcPr>
            <w:tcW w:w="1685" w:type="dxa"/>
          </w:tcPr>
          <w:p w14:paraId="12394627" w14:textId="77777777" w:rsidR="00787967" w:rsidRPr="00171CE0" w:rsidRDefault="00787967">
            <w:pPr>
              <w:rPr>
                <w:rFonts w:ascii="Arial Narrow" w:hAnsi="Arial Narrow"/>
              </w:rPr>
            </w:pPr>
            <w:r w:rsidRPr="00171CE0">
              <w:rPr>
                <w:rFonts w:ascii="Arial Narrow" w:hAnsi="Arial Narrow"/>
              </w:rPr>
              <w:t>1</w:t>
            </w:r>
          </w:p>
        </w:tc>
        <w:tc>
          <w:tcPr>
            <w:tcW w:w="1915" w:type="dxa"/>
          </w:tcPr>
          <w:p w14:paraId="3A44F00E" w14:textId="77777777" w:rsidR="00787967" w:rsidRPr="00171CE0" w:rsidRDefault="00787967">
            <w:pPr>
              <w:rPr>
                <w:rFonts w:ascii="Arial Narrow" w:hAnsi="Arial Narrow"/>
              </w:rPr>
            </w:pPr>
            <w:r w:rsidRPr="00171CE0">
              <w:rPr>
                <w:rFonts w:ascii="Arial Narrow" w:hAnsi="Arial Narrow"/>
              </w:rPr>
              <w:t>3</w:t>
            </w:r>
          </w:p>
        </w:tc>
        <w:tc>
          <w:tcPr>
            <w:tcW w:w="1960" w:type="dxa"/>
          </w:tcPr>
          <w:p w14:paraId="01BA112C" w14:textId="77777777" w:rsidR="00787967" w:rsidRPr="00171CE0" w:rsidRDefault="00787967" w:rsidP="00787967">
            <w:pPr>
              <w:keepNext/>
              <w:rPr>
                <w:rFonts w:ascii="Arial Narrow" w:hAnsi="Arial Narrow"/>
              </w:rPr>
            </w:pPr>
            <w:r w:rsidRPr="00171CE0">
              <w:rPr>
                <w:rFonts w:ascii="Arial Narrow" w:hAnsi="Arial Narrow"/>
              </w:rPr>
              <w:t>39.5</w:t>
            </w:r>
          </w:p>
        </w:tc>
      </w:tr>
    </w:tbl>
    <w:p w14:paraId="016BA7D1" w14:textId="7E091FDC" w:rsidR="00787967" w:rsidRPr="00171CE0" w:rsidRDefault="00787967">
      <w:pPr>
        <w:pStyle w:val="Caption"/>
        <w:rPr>
          <w:rFonts w:ascii="Arial Narrow" w:hAnsi="Arial Narrow"/>
          <w:szCs w:val="24"/>
        </w:rPr>
      </w:pPr>
    </w:p>
    <w:p w14:paraId="354560A4" w14:textId="77777777" w:rsidR="00C84A64" w:rsidRPr="00E86A5D" w:rsidRDefault="00C84A64" w:rsidP="00C84A64">
      <w:pPr>
        <w:rPr>
          <w:rFonts w:ascii="Arial" w:hAnsi="Arial" w:cs="Arial"/>
          <w:i/>
          <w:iCs/>
          <w:sz w:val="22"/>
          <w:szCs w:val="22"/>
        </w:rPr>
      </w:pPr>
    </w:p>
    <w:p w14:paraId="5B66064F" w14:textId="390804FD" w:rsidR="00D92AEE" w:rsidRDefault="00D92AEE" w:rsidP="009D558C">
      <w:pPr>
        <w:pStyle w:val="Head3"/>
      </w:pPr>
      <w:bookmarkStart w:id="135" w:name="_Toc228288450"/>
      <w:r w:rsidRPr="00061E96">
        <w:t>Seismicity</w:t>
      </w:r>
      <w:bookmarkEnd w:id="135"/>
    </w:p>
    <w:p w14:paraId="757980D9" w14:textId="0D52396A" w:rsidR="00CD45DB" w:rsidRDefault="00CD45DB" w:rsidP="00D10C75">
      <w:pPr>
        <w:pStyle w:val="BodyText"/>
      </w:pPr>
      <w:r>
        <w:t>The Yap Islands, the extreme western state of the Federated States of Micronesia, experience earthquakes because they are adjacent to the Yap Trench, where the Pacific plate is being subducted, part of the Ring of Fire. For example, M 5.4 and M 5.9 earthquakes were felt in the Yap Islands in October 2025</w:t>
      </w:r>
      <w:r w:rsidR="00991840">
        <w:t xml:space="preserve"> (USGS, 2025a</w:t>
      </w:r>
      <w:r w:rsidR="007D33B8">
        <w:t>; USGS, 2025b)</w:t>
      </w:r>
      <w:r>
        <w:t>.</w:t>
      </w:r>
    </w:p>
    <w:p w14:paraId="2B27086F" w14:textId="1816BD2D" w:rsidR="00CD45DB" w:rsidRPr="003F4ADC" w:rsidRDefault="00CD45DB" w:rsidP="00D10C75">
      <w:pPr>
        <w:pStyle w:val="BodyText"/>
      </w:pPr>
      <w:r w:rsidRPr="003F4ADC">
        <w:t>The Philippine Sea plate is bordered by the larger Pacific and Eurasia plates and the smaller Sunda plate. The Philippine Sea plate is unusual in that its borders are nearly all zones of plate convergence. The Pacific plate is subducted into the mantle, south of Japan, beneath the Izu-Bonin and Mariana island arcs, which extend more than 3,000 km along the eastern margin of the Philippine Sea plate. This subduction zone is characterized by rapid plate convergence and high-level seismicity extending to depths of over 600 km. Despite this extensive zone of plate convergence, the plate interface has been associated with few great (M&gt;</w:t>
      </w:r>
      <w:proofErr w:type="gramStart"/>
      <w:r w:rsidRPr="003F4ADC">
        <w:t>8.0) ‘</w:t>
      </w:r>
      <w:proofErr w:type="gramEnd"/>
      <w:r w:rsidRPr="003F4ADC">
        <w:t>megathrust’ earthquakes. This low seismic energy release is thought to result from weak coupling along the plate interface (Scholz and Campos, 1995). These convergent plate margins are also associated with unusual zones of back-arc extension (along with resulting seismic activity) that decouple the volcanic island arcs from the remainder of the Philippine Sea Plate (Karig et al., 1978; Klaus et al., 1992).</w:t>
      </w:r>
    </w:p>
    <w:p w14:paraId="7CC4B333" w14:textId="6891A1D7" w:rsidR="00CD45DB" w:rsidRPr="003F4ADC" w:rsidRDefault="00CD45DB" w:rsidP="00D10C75">
      <w:pPr>
        <w:pStyle w:val="BodyText"/>
      </w:pPr>
      <w:r w:rsidRPr="003F4ADC">
        <w:t>South of the Mariana arc, the Pacific plate is subducted beneath the Yap Islands along the Yap trench. The long zone of Pacific plate subduction at the eastern margin of the Philippine Sea Plate is responsible for the generation of the deep Izu-Bonin, Mariana, and Yap trenches as well as parallel chains of islands and volcanoes, typical of circum-pacific island arcs. Similarly, the northwestern margin of the Philippine Sea plate is subducting beneath the Eurasia plate along a convergent zone, extending from southern Honshu</w:t>
      </w:r>
      <w:r>
        <w:t xml:space="preserve"> Island of Japan</w:t>
      </w:r>
      <w:r w:rsidRPr="003F4ADC">
        <w:t xml:space="preserve"> to the northeastern coast of Taiwan, manifested by the Ryukyu Islands and the </w:t>
      </w:r>
      <w:proofErr w:type="spellStart"/>
      <w:r w:rsidRPr="003F4ADC">
        <w:t>Nansei</w:t>
      </w:r>
      <w:proofErr w:type="spellEnd"/>
      <w:r w:rsidRPr="003F4ADC">
        <w:t>-Shoto (Ryukyu) trench.</w:t>
      </w:r>
    </w:p>
    <w:p w14:paraId="2E29DB78" w14:textId="77777777" w:rsidR="009D558C" w:rsidRDefault="009D558C" w:rsidP="00094B11">
      <w:pPr>
        <w:pStyle w:val="BodyText"/>
      </w:pPr>
    </w:p>
    <w:p w14:paraId="740CDC4A" w14:textId="1CE8E870" w:rsidR="00D92AEE" w:rsidRDefault="00D92AEE" w:rsidP="009D558C">
      <w:pPr>
        <w:pStyle w:val="Head2"/>
      </w:pPr>
      <w:bookmarkStart w:id="136" w:name="_Toc228288451"/>
      <w:r>
        <w:t>City of Weno in the Chuuk Lagoon</w:t>
      </w:r>
      <w:bookmarkEnd w:id="136"/>
    </w:p>
    <w:p w14:paraId="024C6E77" w14:textId="216598AB" w:rsidR="00153862" w:rsidRDefault="00630E8C" w:rsidP="00630E8C">
      <w:r>
        <w:t>Weno, the most populated island in the Chuuk Lagoon, lies near 7.5°N and 151.9°E and is part of a large, volcanic‑origin island complex now dominated by low‑lying karst and lagoonal systems</w:t>
      </w:r>
      <w:r w:rsidR="00153862">
        <w:t xml:space="preserve"> (</w:t>
      </w:r>
      <w:r w:rsidR="006C5B15">
        <w:fldChar w:fldCharType="begin"/>
      </w:r>
      <w:r w:rsidR="006C5B15">
        <w:instrText xml:space="preserve"> REF _Ref226925302 \h </w:instrText>
      </w:r>
      <w:r w:rsidR="006C5B15">
        <w:fldChar w:fldCharType="separate"/>
      </w:r>
      <w:r w:rsidR="00244816" w:rsidRPr="006C5B15">
        <w:rPr>
          <w:rFonts w:ascii="Arial Narrow" w:hAnsi="Arial Narrow"/>
        </w:rPr>
        <w:t xml:space="preserve">Figure </w:t>
      </w:r>
      <w:r w:rsidR="00244816">
        <w:rPr>
          <w:rFonts w:ascii="Arial Narrow" w:hAnsi="Arial Narrow"/>
          <w:noProof/>
        </w:rPr>
        <w:t>32</w:t>
      </w:r>
      <w:r w:rsidR="006C5B15">
        <w:fldChar w:fldCharType="end"/>
      </w:r>
      <w:r w:rsidR="00153862">
        <w:t>)</w:t>
      </w:r>
      <w:r>
        <w:t>.</w:t>
      </w:r>
    </w:p>
    <w:p w14:paraId="2AEDFC4A" w14:textId="6EEE140C" w:rsidR="00153862" w:rsidRDefault="00690F88" w:rsidP="00153862">
      <w:pPr>
        <w:rPr>
          <w:b/>
          <w:bCs/>
        </w:rPr>
      </w:pPr>
      <w:r>
        <w:rPr>
          <w:b/>
          <w:bCs/>
          <w:noProof/>
        </w:rPr>
        <w:drawing>
          <wp:inline distT="0" distB="0" distL="0" distR="0" wp14:anchorId="3E83F058" wp14:editId="0679C11E">
            <wp:extent cx="4599432" cy="4703064"/>
            <wp:effectExtent l="0" t="0" r="0" b="2540"/>
            <wp:docPr id="682598179"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2598179" name="Picture 682598179"/>
                    <pic:cNvPicPr/>
                  </pic:nvPicPr>
                  <pic:blipFill>
                    <a:blip r:embed="rId42"/>
                    <a:stretch>
                      <a:fillRect/>
                    </a:stretch>
                  </pic:blipFill>
                  <pic:spPr>
                    <a:xfrm>
                      <a:off x="0" y="0"/>
                      <a:ext cx="4599432" cy="4703064"/>
                    </a:xfrm>
                    <a:prstGeom prst="rect">
                      <a:avLst/>
                    </a:prstGeom>
                  </pic:spPr>
                </pic:pic>
              </a:graphicData>
            </a:graphic>
          </wp:inline>
        </w:drawing>
      </w:r>
    </w:p>
    <w:p w14:paraId="3A8890B9" w14:textId="4F61FAFA" w:rsidR="006C5B15" w:rsidRPr="006C5B15" w:rsidRDefault="00214A67" w:rsidP="00214A67">
      <w:pPr>
        <w:pStyle w:val="Caption"/>
        <w:rPr>
          <w:rFonts w:ascii="Arial Narrow" w:hAnsi="Arial Narrow"/>
        </w:rPr>
      </w:pPr>
      <w:bookmarkStart w:id="137" w:name="_Ref226925302"/>
      <w:bookmarkStart w:id="138" w:name="_Toc227410304"/>
      <w:r w:rsidRPr="006C5B15">
        <w:rPr>
          <w:rFonts w:ascii="Arial Narrow" w:hAnsi="Arial Narrow"/>
        </w:rPr>
        <w:t xml:space="preserve">Figure </w:t>
      </w:r>
      <w:r w:rsidRPr="006C5B15">
        <w:rPr>
          <w:rFonts w:ascii="Arial Narrow" w:hAnsi="Arial Narrow"/>
        </w:rPr>
        <w:fldChar w:fldCharType="begin"/>
      </w:r>
      <w:r w:rsidRPr="006C5B15">
        <w:rPr>
          <w:rFonts w:ascii="Arial Narrow" w:hAnsi="Arial Narrow"/>
        </w:rPr>
        <w:instrText xml:space="preserve"> SEQ Figure \* ARABIC </w:instrText>
      </w:r>
      <w:r w:rsidRPr="006C5B15">
        <w:rPr>
          <w:rFonts w:ascii="Arial Narrow" w:hAnsi="Arial Narrow"/>
        </w:rPr>
        <w:fldChar w:fldCharType="separate"/>
      </w:r>
      <w:r w:rsidR="00244816">
        <w:rPr>
          <w:rFonts w:ascii="Arial Narrow" w:hAnsi="Arial Narrow"/>
          <w:noProof/>
        </w:rPr>
        <w:t>32</w:t>
      </w:r>
      <w:r w:rsidRPr="006C5B15">
        <w:rPr>
          <w:rFonts w:ascii="Arial Narrow" w:hAnsi="Arial Narrow"/>
        </w:rPr>
        <w:fldChar w:fldCharType="end"/>
      </w:r>
      <w:bookmarkEnd w:id="137"/>
      <w:r w:rsidRPr="006C5B15">
        <w:rPr>
          <w:rFonts w:ascii="Arial Narrow" w:hAnsi="Arial Narrow"/>
        </w:rPr>
        <w:t>. Map of</w:t>
      </w:r>
      <w:r w:rsidR="00DB6178">
        <w:rPr>
          <w:rFonts w:ascii="Arial Narrow" w:hAnsi="Arial Narrow"/>
        </w:rPr>
        <w:t xml:space="preserve"> the Island Weno with </w:t>
      </w:r>
      <w:r w:rsidR="005A1B2A">
        <w:rPr>
          <w:rFonts w:ascii="Arial Narrow" w:hAnsi="Arial Narrow"/>
        </w:rPr>
        <w:t xml:space="preserve">city Weno in the </w:t>
      </w:r>
      <w:r w:rsidRPr="006C5B15">
        <w:rPr>
          <w:rFonts w:ascii="Arial Narrow" w:hAnsi="Arial Narrow"/>
        </w:rPr>
        <w:t>Chuuk Lagoon. The Geographic Coordinate System is WGS84. Sources: Esri, TomTom, FAO, NOAA, USGS.</w:t>
      </w:r>
      <w:bookmarkEnd w:id="138"/>
    </w:p>
    <w:p w14:paraId="049ABE3A" w14:textId="07FECFAF" w:rsidR="00153862" w:rsidRPr="006C5B15" w:rsidRDefault="006C5B15" w:rsidP="00214A67">
      <w:pPr>
        <w:pStyle w:val="Caption"/>
        <w:rPr>
          <w:rFonts w:ascii="Arial Narrow" w:hAnsi="Arial Narrow"/>
        </w:rPr>
      </w:pPr>
      <w:r w:rsidRPr="006C5B15">
        <w:rPr>
          <w:rFonts w:ascii="Arial Narrow" w:hAnsi="Arial Narrow"/>
        </w:rPr>
        <w:t xml:space="preserve"> </w:t>
      </w:r>
      <w:r>
        <w:rPr>
          <w:rFonts w:ascii="Arial Narrow" w:hAnsi="Arial Narrow"/>
        </w:rPr>
        <w:tab/>
      </w:r>
      <w:r w:rsidR="00153862" w:rsidRPr="006C5B15">
        <w:rPr>
          <w:rFonts w:ascii="Arial Narrow" w:hAnsi="Arial Narrow"/>
        </w:rPr>
        <w:t xml:space="preserve">Alt text: A map showing the </w:t>
      </w:r>
      <w:r w:rsidR="00691716" w:rsidRPr="006C5B15">
        <w:rPr>
          <w:rFonts w:ascii="Arial Narrow" w:hAnsi="Arial Narrow"/>
        </w:rPr>
        <w:t xml:space="preserve">Chuuk Lagoon including the islands of Weno, </w:t>
      </w:r>
      <w:proofErr w:type="spellStart"/>
      <w:r w:rsidR="00691716" w:rsidRPr="006C5B15">
        <w:rPr>
          <w:rFonts w:ascii="Arial Narrow" w:hAnsi="Arial Narrow"/>
        </w:rPr>
        <w:t>Tonoas</w:t>
      </w:r>
      <w:proofErr w:type="spellEnd"/>
      <w:r w:rsidR="00691716" w:rsidRPr="006C5B15">
        <w:rPr>
          <w:rFonts w:ascii="Arial Narrow" w:hAnsi="Arial Narrow"/>
        </w:rPr>
        <w:t xml:space="preserve">, Uman, </w:t>
      </w:r>
      <w:proofErr w:type="spellStart"/>
      <w:r w:rsidR="00691716" w:rsidRPr="006C5B15">
        <w:rPr>
          <w:rFonts w:ascii="Arial Narrow" w:hAnsi="Arial Narrow"/>
        </w:rPr>
        <w:t>Fefan</w:t>
      </w:r>
      <w:proofErr w:type="spellEnd"/>
      <w:r w:rsidR="00691716" w:rsidRPr="006C5B15">
        <w:rPr>
          <w:rFonts w:ascii="Arial Narrow" w:hAnsi="Arial Narrow"/>
        </w:rPr>
        <w:t xml:space="preserve">, </w:t>
      </w:r>
      <w:proofErr w:type="spellStart"/>
      <w:r w:rsidR="00691716" w:rsidRPr="006C5B15">
        <w:rPr>
          <w:rFonts w:ascii="Arial Narrow" w:hAnsi="Arial Narrow"/>
        </w:rPr>
        <w:t>Uatschaluk</w:t>
      </w:r>
      <w:proofErr w:type="spellEnd"/>
      <w:r w:rsidR="00691716" w:rsidRPr="006C5B15">
        <w:rPr>
          <w:rFonts w:ascii="Arial Narrow" w:hAnsi="Arial Narrow"/>
        </w:rPr>
        <w:t>, and Tol Island</w:t>
      </w:r>
      <w:r w:rsidR="00153862" w:rsidRPr="006C5B15">
        <w:rPr>
          <w:rFonts w:ascii="Arial Narrow" w:hAnsi="Arial Narrow"/>
        </w:rPr>
        <w:t>. The map uses the WGS84 geographic coordinate system and includes data sources from Esri, TomTom, FAO, NOAA, and USGS.</w:t>
      </w:r>
    </w:p>
    <w:p w14:paraId="4B00D36B" w14:textId="77777777" w:rsidR="005A1B2A" w:rsidRDefault="005A1B2A" w:rsidP="00630E8C"/>
    <w:p w14:paraId="500E162C" w14:textId="6D39385A" w:rsidR="00630E8C" w:rsidRDefault="00630E8C" w:rsidP="00630E8C">
      <w:r>
        <w:t>The island has limited surface water, with most residents relying on rainwater harvesting and thin, fragile groundwater lenses that are sensitive to contamination, overuse, and saltwater intrusion</w:t>
      </w:r>
      <w:r w:rsidR="008C123E">
        <w:t xml:space="preserve"> (</w:t>
      </w:r>
      <w:r w:rsidR="008C123E" w:rsidRPr="008C123E">
        <w:t>U.S. Geological Survey, 2018</w:t>
      </w:r>
      <w:r w:rsidR="008C123E">
        <w:t>)</w:t>
      </w:r>
      <w:r>
        <w:t>. Hydrologically, Weno is among the most vulnerable locations in FSM, with droughts causing rapid declines in freshwater availability</w:t>
      </w:r>
      <w:r w:rsidR="00635154">
        <w:t xml:space="preserve"> (</w:t>
      </w:r>
      <w:r w:rsidR="007235A5" w:rsidRPr="007235A5">
        <w:t xml:space="preserve">Bailey and Jenson, 2011; Werner </w:t>
      </w:r>
      <w:r w:rsidR="007235A5">
        <w:t>and others</w:t>
      </w:r>
      <w:r w:rsidR="007235A5" w:rsidRPr="007235A5">
        <w:t>, 2017</w:t>
      </w:r>
      <w:r w:rsidR="00635154">
        <w:t>)</w:t>
      </w:r>
      <w:r>
        <w:t>. The island’s dense population places additional pressure on limited water resources and aging distribution systems. Tectonically, Weno sits on the Caroline Plate but is influenced by regional seismicity associated with surrounding plate boundaries, including the nearby subduction zones to the north and west. Earthquakes can exacerbate coastal erosion and infrastructure damage, indirectly affecting water‑supply reliability.</w:t>
      </w:r>
    </w:p>
    <w:p w14:paraId="2C6BE9B0" w14:textId="77777777" w:rsidR="00D92AEE" w:rsidRDefault="00D92AEE" w:rsidP="00D92AEE">
      <w:pPr>
        <w:pStyle w:val="Head3"/>
      </w:pPr>
      <w:bookmarkStart w:id="139" w:name="_Toc228288452"/>
      <w:r w:rsidRPr="00FD18F8">
        <w:t>Precipitation</w:t>
      </w:r>
      <w:bookmarkEnd w:id="139"/>
    </w:p>
    <w:p w14:paraId="165AEE8C" w14:textId="35197AE6" w:rsidR="00D93D72" w:rsidRDefault="00E06C70" w:rsidP="00D93D72">
      <w:pPr>
        <w:pStyle w:val="BodyText"/>
      </w:pPr>
      <w:r w:rsidRPr="00E06C70">
        <w:t>Weno, located in the Chuuk Lagoon, has a tropical maritime climate with high humidity, abundant rainfall, and relatively weak orographic enhancement compared to the high volcanic islands of Kosrae and Pohnpei</w:t>
      </w:r>
      <w:r w:rsidR="00781AB7">
        <w:t xml:space="preserve"> (</w:t>
      </w:r>
      <w:r w:rsidR="00AE7F62" w:rsidRPr="00AE7F62">
        <w:t>Climate</w:t>
      </w:r>
      <w:r w:rsidR="00AE7F62" w:rsidRPr="00AE7F62">
        <w:noBreakHyphen/>
        <w:t>Data.org, 2026</w:t>
      </w:r>
      <w:r w:rsidR="00781AB7">
        <w:t>)</w:t>
      </w:r>
      <w:r w:rsidRPr="00E06C70">
        <w:t>. This results in consistently wet conditions but also a strong dependence on rainwater harvesting and limited shallow groundwater resources. Long</w:t>
      </w:r>
      <w:r w:rsidRPr="00E06C70">
        <w:noBreakHyphen/>
        <w:t xml:space="preserve">term IMERG summaries indicate that Weno’s </w:t>
      </w:r>
      <w:r w:rsidR="008628E1">
        <w:t>mean</w:t>
      </w:r>
      <w:r w:rsidRPr="00E06C70">
        <w:t xml:space="preserve"> annual precipitation is 2,817 mm/yr, the mean monthly precipitation is 235 mm, and the </w:t>
      </w:r>
      <w:r w:rsidR="008628E1">
        <w:t>mean</w:t>
      </w:r>
      <w:r w:rsidRPr="00E06C70">
        <w:t xml:space="preserve"> minimum and maximum monthly precipitation per year are 61 mm and 533 mm, respectively (</w:t>
      </w:r>
      <w:r w:rsidR="00D93D72">
        <w:fldChar w:fldCharType="begin"/>
      </w:r>
      <w:r w:rsidR="00D93D72">
        <w:instrText xml:space="preserve"> REF _Ref226925930 \h </w:instrText>
      </w:r>
      <w:r w:rsidR="00D93D72">
        <w:fldChar w:fldCharType="separate"/>
      </w:r>
      <w:r w:rsidR="00244816" w:rsidRPr="00D93D72">
        <w:rPr>
          <w:rFonts w:ascii="Arial Narrow" w:hAnsi="Arial Narrow"/>
        </w:rPr>
        <w:t xml:space="preserve">Table </w:t>
      </w:r>
      <w:r w:rsidR="00244816">
        <w:rPr>
          <w:rFonts w:ascii="Arial Narrow" w:hAnsi="Arial Narrow"/>
          <w:noProof/>
        </w:rPr>
        <w:t>9</w:t>
      </w:r>
      <w:r w:rsidR="00D93D72">
        <w:fldChar w:fldCharType="end"/>
      </w:r>
      <w:r w:rsidRPr="00E06C70">
        <w:t>).</w:t>
      </w:r>
    </w:p>
    <w:p w14:paraId="2512FF99" w14:textId="3F2208F2" w:rsidR="00E06C70" w:rsidRDefault="00D93D72" w:rsidP="00D93D72">
      <w:pPr>
        <w:pStyle w:val="Caption"/>
        <w:keepNext/>
        <w:rPr>
          <w:rFonts w:ascii="Arial Narrow" w:hAnsi="Arial Narrow"/>
        </w:rPr>
      </w:pPr>
      <w:bookmarkStart w:id="140" w:name="_Ref226925930"/>
      <w:bookmarkStart w:id="141" w:name="_Toc228288469"/>
      <w:r w:rsidRPr="00D93D72">
        <w:rPr>
          <w:rFonts w:ascii="Arial Narrow" w:hAnsi="Arial Narrow"/>
        </w:rPr>
        <w:t xml:space="preserve">Table </w:t>
      </w:r>
      <w:r w:rsidR="00F1468A">
        <w:rPr>
          <w:rFonts w:ascii="Arial Narrow" w:hAnsi="Arial Narrow"/>
        </w:rPr>
        <w:fldChar w:fldCharType="begin"/>
      </w:r>
      <w:r w:rsidR="00F1468A">
        <w:rPr>
          <w:rFonts w:ascii="Arial Narrow" w:hAnsi="Arial Narrow"/>
        </w:rPr>
        <w:instrText xml:space="preserve"> SEQ Table \* ARABIC </w:instrText>
      </w:r>
      <w:r w:rsidR="00F1468A">
        <w:rPr>
          <w:rFonts w:ascii="Arial Narrow" w:hAnsi="Arial Narrow"/>
        </w:rPr>
        <w:fldChar w:fldCharType="separate"/>
      </w:r>
      <w:r w:rsidR="00244816">
        <w:rPr>
          <w:rFonts w:ascii="Arial Narrow" w:hAnsi="Arial Narrow"/>
          <w:noProof/>
        </w:rPr>
        <w:t>9</w:t>
      </w:r>
      <w:r w:rsidR="00F1468A">
        <w:rPr>
          <w:rFonts w:ascii="Arial Narrow" w:hAnsi="Arial Narrow"/>
        </w:rPr>
        <w:fldChar w:fldCharType="end"/>
      </w:r>
      <w:bookmarkEnd w:id="140"/>
      <w:r w:rsidRPr="00D93D72">
        <w:rPr>
          <w:rFonts w:ascii="Arial Narrow" w:hAnsi="Arial Narrow"/>
        </w:rPr>
        <w:t xml:space="preserve">. </w:t>
      </w:r>
      <w:r w:rsidR="007B7EBF">
        <w:rPr>
          <w:rFonts w:ascii="Arial Narrow" w:hAnsi="Arial Narrow"/>
        </w:rPr>
        <w:t>Mean</w:t>
      </w:r>
      <w:r w:rsidRPr="00D93D72">
        <w:rPr>
          <w:rFonts w:ascii="Arial Narrow" w:hAnsi="Arial Narrow"/>
        </w:rPr>
        <w:t xml:space="preserve"> IMERG precipitation statistics (1998–2024) for Weno</w:t>
      </w:r>
      <w:bookmarkEnd w:id="141"/>
    </w:p>
    <w:tbl>
      <w:tblPr>
        <w:tblStyle w:val="TableGrid"/>
        <w:tblW w:w="0" w:type="auto"/>
        <w:tblLook w:val="04A0" w:firstRow="1" w:lastRow="0" w:firstColumn="1" w:lastColumn="0" w:noHBand="0" w:noVBand="1"/>
      </w:tblPr>
      <w:tblGrid>
        <w:gridCol w:w="3955"/>
        <w:gridCol w:w="3595"/>
      </w:tblGrid>
      <w:tr w:rsidR="00D93D72" w:rsidRPr="00937742" w14:paraId="1EC70E42" w14:textId="77777777">
        <w:tc>
          <w:tcPr>
            <w:tcW w:w="3955" w:type="dxa"/>
          </w:tcPr>
          <w:p w14:paraId="414C16C5" w14:textId="77777777" w:rsidR="00D93D72" w:rsidRPr="0070522D" w:rsidRDefault="00D93D72">
            <w:pPr>
              <w:pStyle w:val="BodyText"/>
              <w:ind w:firstLine="0"/>
              <w:rPr>
                <w:rFonts w:ascii="Arial Narrow" w:hAnsi="Arial Narrow"/>
                <w:b/>
                <w:bCs/>
              </w:rPr>
            </w:pPr>
            <w:r w:rsidRPr="0070522D">
              <w:rPr>
                <w:rFonts w:ascii="Arial Narrow" w:hAnsi="Arial Narrow"/>
                <w:b/>
                <w:bCs/>
              </w:rPr>
              <w:t>Statistic</w:t>
            </w:r>
          </w:p>
        </w:tc>
        <w:tc>
          <w:tcPr>
            <w:tcW w:w="3595" w:type="dxa"/>
          </w:tcPr>
          <w:p w14:paraId="1F125EAE" w14:textId="2B07B5AF" w:rsidR="00D93D72" w:rsidRPr="0070522D" w:rsidRDefault="00D93D72">
            <w:pPr>
              <w:pStyle w:val="BodyText"/>
              <w:ind w:firstLine="0"/>
              <w:rPr>
                <w:rFonts w:ascii="Arial Narrow" w:hAnsi="Arial Narrow"/>
                <w:b/>
                <w:bCs/>
              </w:rPr>
            </w:pPr>
            <w:r>
              <w:rPr>
                <w:rFonts w:ascii="Arial Narrow" w:hAnsi="Arial Narrow"/>
                <w:b/>
                <w:bCs/>
              </w:rPr>
              <w:t>P</w:t>
            </w:r>
            <w:r w:rsidRPr="0070522D">
              <w:rPr>
                <w:rFonts w:ascii="Arial Narrow" w:hAnsi="Arial Narrow"/>
                <w:b/>
                <w:bCs/>
              </w:rPr>
              <w:t>recipitation</w:t>
            </w:r>
            <w:r w:rsidR="00651C43">
              <w:rPr>
                <w:rFonts w:ascii="Arial Narrow" w:hAnsi="Arial Narrow"/>
                <w:b/>
                <w:bCs/>
              </w:rPr>
              <w:t xml:space="preserve"> (mm)</w:t>
            </w:r>
          </w:p>
        </w:tc>
      </w:tr>
      <w:tr w:rsidR="00D93D72" w:rsidRPr="00937742" w14:paraId="7395B5E0" w14:textId="77777777">
        <w:tc>
          <w:tcPr>
            <w:tcW w:w="3955" w:type="dxa"/>
          </w:tcPr>
          <w:p w14:paraId="557AB3AC" w14:textId="695A4660" w:rsidR="00D93D72" w:rsidRPr="0070522D" w:rsidRDefault="00D93D72">
            <w:pPr>
              <w:pStyle w:val="BodyText"/>
              <w:ind w:firstLine="0"/>
              <w:rPr>
                <w:rFonts w:ascii="Arial Narrow" w:hAnsi="Arial Narrow"/>
              </w:rPr>
            </w:pPr>
            <w:r>
              <w:rPr>
                <w:rFonts w:ascii="Arial Narrow" w:hAnsi="Arial Narrow"/>
              </w:rPr>
              <w:t>Mean</w:t>
            </w:r>
            <w:r w:rsidRPr="00937742">
              <w:rPr>
                <w:rFonts w:ascii="Arial Narrow" w:hAnsi="Arial Narrow"/>
              </w:rPr>
              <w:t xml:space="preserve"> annual</w:t>
            </w:r>
          </w:p>
        </w:tc>
        <w:tc>
          <w:tcPr>
            <w:tcW w:w="3595" w:type="dxa"/>
          </w:tcPr>
          <w:p w14:paraId="5F4BA214" w14:textId="4C23CDA5" w:rsidR="00D93D72" w:rsidRPr="0070522D" w:rsidRDefault="00D93D72">
            <w:pPr>
              <w:pStyle w:val="BodyText"/>
              <w:ind w:firstLine="0"/>
              <w:rPr>
                <w:rFonts w:ascii="Arial Narrow" w:hAnsi="Arial Narrow"/>
              </w:rPr>
            </w:pPr>
            <w:r>
              <w:rPr>
                <w:rFonts w:ascii="Arial Narrow" w:hAnsi="Arial Narrow"/>
              </w:rPr>
              <w:t>2817</w:t>
            </w:r>
            <w:r w:rsidRPr="0070522D">
              <w:rPr>
                <w:rFonts w:ascii="Arial Narrow" w:hAnsi="Arial Narrow"/>
              </w:rPr>
              <w:t xml:space="preserve"> </w:t>
            </w:r>
          </w:p>
        </w:tc>
      </w:tr>
      <w:tr w:rsidR="00D93D72" w:rsidRPr="00937742" w14:paraId="69524A80" w14:textId="77777777">
        <w:tc>
          <w:tcPr>
            <w:tcW w:w="3955" w:type="dxa"/>
          </w:tcPr>
          <w:p w14:paraId="516F3FB2" w14:textId="174A573B" w:rsidR="00D93D72" w:rsidRPr="0070522D" w:rsidRDefault="00DA13CD">
            <w:pPr>
              <w:pStyle w:val="BodyText"/>
              <w:ind w:firstLine="0"/>
              <w:rPr>
                <w:rFonts w:ascii="Arial Narrow" w:hAnsi="Arial Narrow"/>
              </w:rPr>
            </w:pPr>
            <w:r>
              <w:rPr>
                <w:rFonts w:ascii="Arial Narrow" w:hAnsi="Arial Narrow"/>
              </w:rPr>
              <w:t>M</w:t>
            </w:r>
            <w:r w:rsidRPr="00937742">
              <w:rPr>
                <w:rFonts w:ascii="Arial Narrow" w:hAnsi="Arial Narrow"/>
              </w:rPr>
              <w:t>ean</w:t>
            </w:r>
            <w:r w:rsidR="00D93D72" w:rsidRPr="00937742">
              <w:rPr>
                <w:rFonts w:ascii="Arial Narrow" w:hAnsi="Arial Narrow"/>
              </w:rPr>
              <w:t xml:space="preserve"> monthly</w:t>
            </w:r>
            <w:r>
              <w:rPr>
                <w:rFonts w:ascii="Arial Narrow" w:hAnsi="Arial Narrow"/>
              </w:rPr>
              <w:t xml:space="preserve"> mean</w:t>
            </w:r>
          </w:p>
        </w:tc>
        <w:tc>
          <w:tcPr>
            <w:tcW w:w="3595" w:type="dxa"/>
          </w:tcPr>
          <w:p w14:paraId="33EB6A1B" w14:textId="1495097D" w:rsidR="00D93D72" w:rsidRPr="0070522D" w:rsidRDefault="00D93D72">
            <w:pPr>
              <w:pStyle w:val="BodyText"/>
              <w:ind w:firstLine="0"/>
              <w:rPr>
                <w:rFonts w:ascii="Arial Narrow" w:hAnsi="Arial Narrow"/>
              </w:rPr>
            </w:pPr>
            <w:r>
              <w:rPr>
                <w:rFonts w:ascii="Arial Narrow" w:hAnsi="Arial Narrow"/>
              </w:rPr>
              <w:t>235</w:t>
            </w:r>
          </w:p>
        </w:tc>
      </w:tr>
      <w:tr w:rsidR="00D93D72" w:rsidRPr="00937742" w14:paraId="789F12F7" w14:textId="77777777">
        <w:tc>
          <w:tcPr>
            <w:tcW w:w="3955" w:type="dxa"/>
          </w:tcPr>
          <w:p w14:paraId="1500EF4A" w14:textId="3C68272A" w:rsidR="00D93D72" w:rsidRPr="0070522D" w:rsidRDefault="00DA13CD">
            <w:pPr>
              <w:pStyle w:val="BodyText"/>
              <w:ind w:firstLine="0"/>
              <w:rPr>
                <w:rFonts w:ascii="Arial Narrow" w:hAnsi="Arial Narrow"/>
              </w:rPr>
            </w:pPr>
            <w:r>
              <w:rPr>
                <w:rFonts w:ascii="Arial Narrow" w:hAnsi="Arial Narrow"/>
              </w:rPr>
              <w:t xml:space="preserve">Mean </w:t>
            </w:r>
            <w:r w:rsidRPr="00937742">
              <w:rPr>
                <w:rFonts w:ascii="Arial Narrow" w:hAnsi="Arial Narrow"/>
              </w:rPr>
              <w:t>monthly</w:t>
            </w:r>
            <w:r>
              <w:rPr>
                <w:rFonts w:ascii="Arial Narrow" w:hAnsi="Arial Narrow"/>
              </w:rPr>
              <w:t xml:space="preserve"> minimum</w:t>
            </w:r>
          </w:p>
        </w:tc>
        <w:tc>
          <w:tcPr>
            <w:tcW w:w="3595" w:type="dxa"/>
          </w:tcPr>
          <w:p w14:paraId="5FE894BD" w14:textId="3499AC05" w:rsidR="00D93D72" w:rsidRPr="0070522D" w:rsidRDefault="00D93D72">
            <w:pPr>
              <w:pStyle w:val="BodyText"/>
              <w:ind w:firstLine="0"/>
              <w:rPr>
                <w:rFonts w:ascii="Arial Narrow" w:hAnsi="Arial Narrow"/>
              </w:rPr>
            </w:pPr>
            <w:r>
              <w:rPr>
                <w:rFonts w:ascii="Arial Narrow" w:hAnsi="Arial Narrow"/>
              </w:rPr>
              <w:t>61</w:t>
            </w:r>
            <w:r w:rsidRPr="0070522D">
              <w:rPr>
                <w:rFonts w:ascii="Arial Narrow" w:hAnsi="Arial Narrow"/>
              </w:rPr>
              <w:t xml:space="preserve"> </w:t>
            </w:r>
          </w:p>
        </w:tc>
      </w:tr>
      <w:tr w:rsidR="00D93D72" w:rsidRPr="00937742" w14:paraId="03D1CB1E" w14:textId="77777777">
        <w:tc>
          <w:tcPr>
            <w:tcW w:w="3955" w:type="dxa"/>
          </w:tcPr>
          <w:p w14:paraId="09A774B0" w14:textId="35CC6CF8" w:rsidR="00D93D72" w:rsidRPr="0070522D" w:rsidRDefault="00DA13CD">
            <w:pPr>
              <w:pStyle w:val="BodyText"/>
              <w:ind w:firstLine="0"/>
              <w:rPr>
                <w:rFonts w:ascii="Arial Narrow" w:hAnsi="Arial Narrow"/>
              </w:rPr>
            </w:pPr>
            <w:r>
              <w:rPr>
                <w:rFonts w:ascii="Arial Narrow" w:hAnsi="Arial Narrow"/>
              </w:rPr>
              <w:t xml:space="preserve">Mean </w:t>
            </w:r>
            <w:r w:rsidRPr="00937742">
              <w:rPr>
                <w:rFonts w:ascii="Arial Narrow" w:hAnsi="Arial Narrow"/>
              </w:rPr>
              <w:t>monthly</w:t>
            </w:r>
            <w:r>
              <w:rPr>
                <w:rFonts w:ascii="Arial Narrow" w:hAnsi="Arial Narrow"/>
              </w:rPr>
              <w:t xml:space="preserve"> maximum</w:t>
            </w:r>
          </w:p>
        </w:tc>
        <w:tc>
          <w:tcPr>
            <w:tcW w:w="3595" w:type="dxa"/>
          </w:tcPr>
          <w:p w14:paraId="7834273A" w14:textId="06690AB8" w:rsidR="00D93D72" w:rsidRPr="0070522D" w:rsidRDefault="00D93D72">
            <w:pPr>
              <w:pStyle w:val="BodyText"/>
              <w:ind w:firstLine="0"/>
              <w:rPr>
                <w:rFonts w:ascii="Arial Narrow" w:hAnsi="Arial Narrow"/>
              </w:rPr>
            </w:pPr>
            <w:r>
              <w:rPr>
                <w:rFonts w:ascii="Arial Narrow" w:hAnsi="Arial Narrow"/>
              </w:rPr>
              <w:t>533</w:t>
            </w:r>
            <w:r w:rsidRPr="0070522D">
              <w:rPr>
                <w:rFonts w:ascii="Arial Narrow" w:hAnsi="Arial Narrow"/>
              </w:rPr>
              <w:t xml:space="preserve"> </w:t>
            </w:r>
          </w:p>
        </w:tc>
      </w:tr>
    </w:tbl>
    <w:p w14:paraId="7EC1F5C7" w14:textId="77777777" w:rsidR="00D93D72" w:rsidRDefault="00D93D72" w:rsidP="00D93D72"/>
    <w:p w14:paraId="59BF2CF7" w14:textId="77777777" w:rsidR="00D93D72" w:rsidRPr="00E06C70" w:rsidRDefault="00D93D72" w:rsidP="00D93D72"/>
    <w:p w14:paraId="79618A16" w14:textId="6569F1F5" w:rsidR="00D93D72" w:rsidRPr="00E06C70" w:rsidRDefault="00E06C70" w:rsidP="00D93D72">
      <w:pPr>
        <w:pStyle w:val="BodyText"/>
      </w:pPr>
      <w:r>
        <w:t xml:space="preserve">Weno receives substantial rainfall </w:t>
      </w:r>
      <w:proofErr w:type="gramStart"/>
      <w:r w:rsidR="7DF5A924">
        <w:t>year round</w:t>
      </w:r>
      <w:proofErr w:type="gramEnd"/>
      <w:r>
        <w:t>, but monthly totals vary widely</w:t>
      </w:r>
      <w:r w:rsidR="005F5BCE">
        <w:t xml:space="preserve"> (</w:t>
      </w:r>
      <w:r>
        <w:fldChar w:fldCharType="begin"/>
      </w:r>
      <w:r>
        <w:instrText xml:space="preserve"> REF _Ref226926164 \h </w:instrText>
      </w:r>
      <w:r>
        <w:fldChar w:fldCharType="separate"/>
      </w:r>
      <w:r w:rsidR="00244816" w:rsidRPr="5D4249CE">
        <w:rPr>
          <w:rFonts w:ascii="Arial Narrow" w:hAnsi="Arial Narrow"/>
        </w:rPr>
        <w:t xml:space="preserve">Figure </w:t>
      </w:r>
      <w:r w:rsidR="00244816" w:rsidRPr="5D4249CE">
        <w:rPr>
          <w:rFonts w:ascii="Arial Narrow" w:hAnsi="Arial Narrow"/>
          <w:noProof/>
        </w:rPr>
        <w:t>33</w:t>
      </w:r>
      <w:r>
        <w:fldChar w:fldCharType="end"/>
      </w:r>
      <w:r w:rsidR="005F5BCE">
        <w:t>)</w:t>
      </w:r>
      <w:r>
        <w:t>.</w:t>
      </w:r>
      <w:r w:rsidR="00D93D72">
        <w:t xml:space="preserve"> </w:t>
      </w:r>
      <w:r w:rsidR="3C9D5AB1">
        <w:t>Wet season</w:t>
      </w:r>
      <w:r w:rsidR="00D93D72">
        <w:t xml:space="preserve"> months commonly exceed 300–400 mm, and several months show extreme rainfall above 500 mm, including April 2004 (853 mm), August 2000 (766 mm), November 2009 (542 mm), May 2023 (538 mm), and October 2022 (443 mm). In contrast, the island periodically experiences </w:t>
      </w:r>
      <w:r w:rsidR="0D0B4630">
        <w:t>dry season</w:t>
      </w:r>
      <w:r w:rsidR="00D93D72">
        <w:t xml:space="preserve"> months falling near or below 20–30 mm, such as March 2020 (48 mm), February 2019 (78 mm), February 2024 (201 mm but preceded by very low January totals), and multiple </w:t>
      </w:r>
      <w:r w:rsidR="2D2EA932">
        <w:t>early record</w:t>
      </w:r>
      <w:r w:rsidR="00D93D72">
        <w:t xml:space="preserve"> months below 15 mm, underscoring Weno’s vulnerability to </w:t>
      </w:r>
      <w:r w:rsidR="6AD07D22">
        <w:t>short duration</w:t>
      </w:r>
      <w:r w:rsidR="00D93D72">
        <w:t xml:space="preserve"> droughts.</w:t>
      </w:r>
    </w:p>
    <w:p w14:paraId="5EDCA878" w14:textId="72740651" w:rsidR="005F5BCE" w:rsidRDefault="005A1298" w:rsidP="00982E6C">
      <w:pPr>
        <w:pStyle w:val="BodyText"/>
        <w:ind w:firstLine="0"/>
      </w:pPr>
      <w:r>
        <w:rPr>
          <w:noProof/>
        </w:rPr>
        <w:drawing>
          <wp:inline distT="0" distB="0" distL="0" distR="0" wp14:anchorId="682351DA" wp14:editId="514C688F">
            <wp:extent cx="5943600" cy="2934335"/>
            <wp:effectExtent l="0" t="0" r="0" b="0"/>
            <wp:docPr id="1110327550" name="Chart 1">
              <a:extLst xmlns:a="http://schemas.openxmlformats.org/drawingml/2006/main">
                <a:ext uri="{FF2B5EF4-FFF2-40B4-BE49-F238E27FC236}">
                  <a16:creationId xmlns:a16="http://schemas.microsoft.com/office/drawing/2014/main" id="{A96FC5FC-F089-4238-A75C-6376F972D0B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3"/>
              </a:graphicData>
            </a:graphic>
          </wp:inline>
        </w:drawing>
      </w:r>
    </w:p>
    <w:p w14:paraId="5C0EE5BE" w14:textId="358220AA" w:rsidR="00A51AB9" w:rsidRPr="00A51AB9" w:rsidRDefault="00A51AB9" w:rsidP="00A51AB9">
      <w:pPr>
        <w:pStyle w:val="Caption"/>
        <w:rPr>
          <w:rFonts w:ascii="Arial Narrow" w:hAnsi="Arial Narrow"/>
        </w:rPr>
      </w:pPr>
      <w:bookmarkStart w:id="142" w:name="_Ref226926164"/>
      <w:bookmarkStart w:id="143" w:name="_Toc227410305"/>
      <w:r w:rsidRPr="00A51AB9">
        <w:rPr>
          <w:rFonts w:ascii="Arial Narrow" w:hAnsi="Arial Narrow"/>
        </w:rPr>
        <w:t xml:space="preserve">Figure </w:t>
      </w:r>
      <w:r w:rsidRPr="00A51AB9">
        <w:rPr>
          <w:rFonts w:ascii="Arial Narrow" w:hAnsi="Arial Narrow"/>
        </w:rPr>
        <w:fldChar w:fldCharType="begin"/>
      </w:r>
      <w:r w:rsidRPr="00A51AB9">
        <w:rPr>
          <w:rFonts w:ascii="Arial Narrow" w:hAnsi="Arial Narrow"/>
        </w:rPr>
        <w:instrText xml:space="preserve"> SEQ Figure \* ARABIC </w:instrText>
      </w:r>
      <w:r w:rsidRPr="00A51AB9">
        <w:rPr>
          <w:rFonts w:ascii="Arial Narrow" w:hAnsi="Arial Narrow"/>
        </w:rPr>
        <w:fldChar w:fldCharType="separate"/>
      </w:r>
      <w:r w:rsidR="00244816">
        <w:rPr>
          <w:rFonts w:ascii="Arial Narrow" w:hAnsi="Arial Narrow"/>
          <w:noProof/>
        </w:rPr>
        <w:t>33</w:t>
      </w:r>
      <w:r w:rsidRPr="00A51AB9">
        <w:rPr>
          <w:rFonts w:ascii="Arial Narrow" w:hAnsi="Arial Narrow"/>
        </w:rPr>
        <w:fldChar w:fldCharType="end"/>
      </w:r>
      <w:bookmarkEnd w:id="142"/>
      <w:r w:rsidRPr="00A51AB9">
        <w:rPr>
          <w:rFonts w:ascii="Arial Narrow" w:hAnsi="Arial Narrow"/>
        </w:rPr>
        <w:t>. Monthly precipitation for years 1998 - 2025 in mm.</w:t>
      </w:r>
      <w:bookmarkEnd w:id="143"/>
      <w:r w:rsidR="00D93D72" w:rsidRPr="00A51AB9">
        <w:rPr>
          <w:rFonts w:ascii="Arial Narrow" w:hAnsi="Arial Narrow"/>
        </w:rPr>
        <w:tab/>
      </w:r>
    </w:p>
    <w:p w14:paraId="281BF748" w14:textId="1F4CB029" w:rsidR="00D93D72" w:rsidRPr="009F43CC" w:rsidRDefault="00D93D72" w:rsidP="00A51AB9">
      <w:pPr>
        <w:pStyle w:val="Caption"/>
        <w:ind w:firstLine="720"/>
        <w:rPr>
          <w:rFonts w:ascii="Arial Narrow" w:hAnsi="Arial Narrow"/>
        </w:rPr>
      </w:pPr>
      <w:r>
        <w:rPr>
          <w:rFonts w:ascii="Arial Narrow" w:hAnsi="Arial Narrow"/>
        </w:rPr>
        <w:t>Alt. text. Line graph showing the m</w:t>
      </w:r>
      <w:r w:rsidRPr="009F43CC">
        <w:rPr>
          <w:rFonts w:ascii="Arial Narrow" w:hAnsi="Arial Narrow"/>
        </w:rPr>
        <w:t>onthly precipitation for years 1998 - 2025 in mm.</w:t>
      </w:r>
    </w:p>
    <w:p w14:paraId="731C5BE9" w14:textId="4A6E21C1" w:rsidR="00E06C70" w:rsidRPr="00D93D72" w:rsidRDefault="00E06C70" w:rsidP="00D93D72">
      <w:pPr>
        <w:pStyle w:val="BodyText"/>
      </w:pPr>
      <w:r>
        <w:t xml:space="preserve"> Annual precipitation totals show substantial interannual variability</w:t>
      </w:r>
      <w:r w:rsidR="00836CCF">
        <w:t xml:space="preserve"> (</w:t>
      </w:r>
      <w:r>
        <w:fldChar w:fldCharType="begin"/>
      </w:r>
      <w:r>
        <w:instrText xml:space="preserve"> REF _Ref226926296 \h </w:instrText>
      </w:r>
      <w:r>
        <w:fldChar w:fldCharType="separate"/>
      </w:r>
      <w:r w:rsidR="00244816" w:rsidRPr="5D4249CE">
        <w:rPr>
          <w:rFonts w:ascii="Arial Narrow" w:hAnsi="Arial Narrow"/>
        </w:rPr>
        <w:t xml:space="preserve">Figure </w:t>
      </w:r>
      <w:r w:rsidR="00244816" w:rsidRPr="5D4249CE">
        <w:rPr>
          <w:rFonts w:ascii="Arial Narrow" w:hAnsi="Arial Narrow"/>
          <w:noProof/>
        </w:rPr>
        <w:t>34</w:t>
      </w:r>
      <w:r>
        <w:fldChar w:fldCharType="end"/>
      </w:r>
      <w:r w:rsidR="00836CCF">
        <w:t>)</w:t>
      </w:r>
      <w:r>
        <w:t>. The wettest year in the record is 2000 (4,176 mm), followed by 20</w:t>
      </w:r>
      <w:r w:rsidR="00836CCF">
        <w:t>23</w:t>
      </w:r>
      <w:r>
        <w:t xml:space="preserve"> (3</w:t>
      </w:r>
      <w:r w:rsidR="00836CCF">
        <w:t>842</w:t>
      </w:r>
      <w:r>
        <w:t xml:space="preserve"> mm)</w:t>
      </w:r>
      <w:r w:rsidR="00836CCF">
        <w:t>,</w:t>
      </w:r>
      <w:r>
        <w:t xml:space="preserve"> and 20</w:t>
      </w:r>
      <w:r w:rsidR="00836CCF">
        <w:t>03</w:t>
      </w:r>
      <w:r>
        <w:t xml:space="preserve"> (3</w:t>
      </w:r>
      <w:r w:rsidR="009675BD">
        <w:t>729</w:t>
      </w:r>
      <w:r>
        <w:t xml:space="preserve"> mm), whereas the driest year was 1998 (1,898 mm)</w:t>
      </w:r>
      <w:r w:rsidR="00151869">
        <w:t xml:space="preserve">, </w:t>
      </w:r>
      <w:r>
        <w:t xml:space="preserve">a year strongly influenced by El </w:t>
      </w:r>
      <w:r w:rsidR="54CEA48A">
        <w:t>Niño related</w:t>
      </w:r>
      <w:r>
        <w:t xml:space="preserve"> drought across the western Pacific. The most recent </w:t>
      </w:r>
      <w:proofErr w:type="gramStart"/>
      <w:r w:rsidR="478E1685">
        <w:t>five year</w:t>
      </w:r>
      <w:proofErr w:type="gramEnd"/>
      <w:r>
        <w:t xml:space="preserve"> period (2020–2024) averages 3,</w:t>
      </w:r>
      <w:r w:rsidR="00DC5C3C">
        <w:t>172</w:t>
      </w:r>
      <w:r>
        <w:t xml:space="preserve"> mm/yr, which is ~</w:t>
      </w:r>
      <w:r w:rsidR="009B26D8">
        <w:t>13</w:t>
      </w:r>
      <w:r>
        <w:t xml:space="preserve">% wetter than the </w:t>
      </w:r>
      <w:r w:rsidR="5FE0733D">
        <w:t>long-term</w:t>
      </w:r>
      <w:r>
        <w:t xml:space="preserve"> mean of 2,817 mm/yr, reflecting a generally wetter recent period.</w:t>
      </w:r>
    </w:p>
    <w:p w14:paraId="187BE0ED" w14:textId="7BA74074" w:rsidR="00982E6C" w:rsidRDefault="00FD0D45" w:rsidP="00F21BBD">
      <w:pPr>
        <w:pStyle w:val="BodyText"/>
        <w:ind w:firstLine="0"/>
      </w:pPr>
      <w:r>
        <w:rPr>
          <w:noProof/>
        </w:rPr>
        <w:drawing>
          <wp:inline distT="0" distB="0" distL="0" distR="0" wp14:anchorId="5A60A783" wp14:editId="3247D195">
            <wp:extent cx="5868670" cy="3479470"/>
            <wp:effectExtent l="0" t="0" r="0" b="6985"/>
            <wp:docPr id="1408160886" name="Chart 1">
              <a:extLst xmlns:a="http://schemas.openxmlformats.org/drawingml/2006/main">
                <a:ext uri="{FF2B5EF4-FFF2-40B4-BE49-F238E27FC236}">
                  <a16:creationId xmlns:a16="http://schemas.microsoft.com/office/drawing/2014/main" id="{59AFC3F1-4EC9-469A-A31D-FDF05365768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4"/>
              </a:graphicData>
            </a:graphic>
          </wp:inline>
        </w:drawing>
      </w:r>
    </w:p>
    <w:p w14:paraId="278BBB2B" w14:textId="09EC6EB7" w:rsidR="00836CCF" w:rsidRPr="00836CCF" w:rsidRDefault="00836CCF" w:rsidP="00836CCF">
      <w:pPr>
        <w:pStyle w:val="Caption"/>
        <w:rPr>
          <w:rFonts w:ascii="Arial Narrow" w:hAnsi="Arial Narrow"/>
        </w:rPr>
      </w:pPr>
      <w:bookmarkStart w:id="144" w:name="_Ref226926296"/>
      <w:bookmarkStart w:id="145" w:name="_Toc227410306"/>
      <w:r w:rsidRPr="00836CCF">
        <w:rPr>
          <w:rFonts w:ascii="Arial Narrow" w:hAnsi="Arial Narrow"/>
        </w:rPr>
        <w:t xml:space="preserve">Figure </w:t>
      </w:r>
      <w:r w:rsidRPr="00836CCF">
        <w:rPr>
          <w:rFonts w:ascii="Arial Narrow" w:hAnsi="Arial Narrow"/>
        </w:rPr>
        <w:fldChar w:fldCharType="begin"/>
      </w:r>
      <w:r w:rsidRPr="00836CCF">
        <w:rPr>
          <w:rFonts w:ascii="Arial Narrow" w:hAnsi="Arial Narrow"/>
        </w:rPr>
        <w:instrText xml:space="preserve"> SEQ Figure \* ARABIC </w:instrText>
      </w:r>
      <w:r w:rsidRPr="00836CCF">
        <w:rPr>
          <w:rFonts w:ascii="Arial Narrow" w:hAnsi="Arial Narrow"/>
        </w:rPr>
        <w:fldChar w:fldCharType="separate"/>
      </w:r>
      <w:r w:rsidR="00244816">
        <w:rPr>
          <w:rFonts w:ascii="Arial Narrow" w:hAnsi="Arial Narrow"/>
          <w:noProof/>
        </w:rPr>
        <w:t>34</w:t>
      </w:r>
      <w:r w:rsidRPr="00836CCF">
        <w:rPr>
          <w:rFonts w:ascii="Arial Narrow" w:hAnsi="Arial Narrow"/>
        </w:rPr>
        <w:fldChar w:fldCharType="end"/>
      </w:r>
      <w:bookmarkEnd w:id="144"/>
      <w:r w:rsidRPr="00836CCF">
        <w:rPr>
          <w:rFonts w:ascii="Arial Narrow" w:hAnsi="Arial Narrow"/>
        </w:rPr>
        <w:t>. Annual precipitation for years 1998 - 2024 in mm.</w:t>
      </w:r>
      <w:bookmarkEnd w:id="145"/>
    </w:p>
    <w:p w14:paraId="35A30472" w14:textId="3C5F1A96" w:rsidR="00D93D72" w:rsidRPr="009F43CC" w:rsidRDefault="00D93D72" w:rsidP="00836CCF">
      <w:pPr>
        <w:pStyle w:val="Caption"/>
        <w:ind w:firstLine="720"/>
        <w:rPr>
          <w:rFonts w:ascii="Arial Narrow" w:hAnsi="Arial Narrow"/>
        </w:rPr>
      </w:pPr>
      <w:r>
        <w:rPr>
          <w:rFonts w:ascii="Arial Narrow" w:hAnsi="Arial Narrow"/>
        </w:rPr>
        <w:t>Alt. text. Bar chart showing annual precipitation for years 1998 to 2024 in mm.</w:t>
      </w:r>
    </w:p>
    <w:p w14:paraId="21FEFD5F" w14:textId="77777777" w:rsidR="00E06C70" w:rsidRPr="00E06C70" w:rsidRDefault="00E06C70" w:rsidP="00E06C70">
      <w:pPr>
        <w:pStyle w:val="BodyText"/>
      </w:pPr>
      <w:r w:rsidRPr="00E06C70">
        <w:t>From a water</w:t>
      </w:r>
      <w:r w:rsidRPr="00E06C70">
        <w:noBreakHyphen/>
        <w:t>management standpoint, Weno’s frequent reliance on rainwater harvesting, thin freshwater lenses, and increased turbidity during heavy rainfall events highlight the critical importance of monitoring rainfall variability, preparing for short droughts, and maintaining resilient storage capacity.</w:t>
      </w:r>
    </w:p>
    <w:p w14:paraId="05165773" w14:textId="77777777" w:rsidR="007E6458" w:rsidRPr="00FD18F8" w:rsidRDefault="007E6458" w:rsidP="007E6458">
      <w:pPr>
        <w:pStyle w:val="BodyText"/>
      </w:pPr>
    </w:p>
    <w:p w14:paraId="42F0C081" w14:textId="77777777" w:rsidR="00D92AEE" w:rsidRDefault="00D92AEE" w:rsidP="00D92AEE">
      <w:pPr>
        <w:pStyle w:val="Head3"/>
      </w:pPr>
      <w:bookmarkStart w:id="146" w:name="_Toc228288453"/>
      <w:r w:rsidRPr="00FD18F8">
        <w:t>Evapotranspiration</w:t>
      </w:r>
      <w:bookmarkEnd w:id="146"/>
    </w:p>
    <w:p w14:paraId="4CBD19B9" w14:textId="6C2D4CEC" w:rsidR="00BD4A5F" w:rsidRDefault="00C57DB0" w:rsidP="00156AFA">
      <w:pPr>
        <w:pStyle w:val="BodyText"/>
      </w:pPr>
      <w:r>
        <w:t>On Weno</w:t>
      </w:r>
      <w:r w:rsidR="00030C4A">
        <w:t xml:space="preserve">, </w:t>
      </w:r>
      <w:r>
        <w:t xml:space="preserve">understanding ET is essential for assessing how much rainfall remains available for storage, groundwater recharge, and daily household supply. </w:t>
      </w:r>
      <w:r w:rsidR="00BD4A5F">
        <w:t xml:space="preserve">Because Weno is </w:t>
      </w:r>
      <w:r w:rsidR="52290500">
        <w:t>low lying</w:t>
      </w:r>
      <w:r w:rsidR="00BD4A5F">
        <w:t xml:space="preserve"> and experiences fewer topographic controls on cloud formation than the high islands of Kosrae or Pohnpei, its climate is shaped by strong maritime influences, consistent humidity, and a warm boundary layer. These conditions create an energy</w:t>
      </w:r>
      <w:r w:rsidR="000F1578">
        <w:t>-</w:t>
      </w:r>
      <w:r w:rsidR="00BD4A5F">
        <w:t>limited to mildly water</w:t>
      </w:r>
      <w:r w:rsidR="000F1578">
        <w:t>-</w:t>
      </w:r>
      <w:r w:rsidR="00BD4A5F">
        <w:t xml:space="preserve">limited ET regime, depending on season. </w:t>
      </w:r>
      <w:r w:rsidR="00156AFA">
        <w:t xml:space="preserve">ET values fall within a narrow band of 96-106 mm per month, varying far less than rainfall, which varies from 189 mm in February to 317 mm in September. </w:t>
      </w:r>
      <w:r w:rsidR="00BD4A5F">
        <w:t>During the wet season</w:t>
      </w:r>
      <w:r w:rsidR="00E30584">
        <w:t xml:space="preserve"> from July to October</w:t>
      </w:r>
      <w:r w:rsidR="00BD4A5F">
        <w:t>, high humidity, frequent cloud cover, and saturated soils constrain ET much like on the higher islands</w:t>
      </w:r>
      <w:r w:rsidR="00E745F1">
        <w:t xml:space="preserve"> (</w:t>
      </w:r>
      <w:r>
        <w:fldChar w:fldCharType="begin"/>
      </w:r>
      <w:r>
        <w:instrText xml:space="preserve"> REF _Ref226926630 \h </w:instrText>
      </w:r>
      <w:r>
        <w:fldChar w:fldCharType="separate"/>
      </w:r>
      <w:r w:rsidR="00244816" w:rsidRPr="5D4249CE">
        <w:rPr>
          <w:rFonts w:ascii="Arial Narrow" w:hAnsi="Arial Narrow"/>
        </w:rPr>
        <w:t xml:space="preserve">Figure </w:t>
      </w:r>
      <w:r w:rsidR="00244816" w:rsidRPr="5D4249CE">
        <w:rPr>
          <w:rFonts w:ascii="Arial Narrow" w:hAnsi="Arial Narrow"/>
          <w:noProof/>
        </w:rPr>
        <w:t>35</w:t>
      </w:r>
      <w:r>
        <w:fldChar w:fldCharType="end"/>
      </w:r>
      <w:r w:rsidR="00E745F1">
        <w:t>)</w:t>
      </w:r>
      <w:r w:rsidR="00BD4A5F">
        <w:t>. In the drier months</w:t>
      </w:r>
      <w:r w:rsidR="001E7CF7">
        <w:t xml:space="preserve"> from January to March</w:t>
      </w:r>
      <w:r w:rsidR="00BD4A5F">
        <w:t>, however, clearer skies and reduced rainfall increase evaporative demand, allowing ET to rise somewhat even as soil moisture declines.</w:t>
      </w:r>
      <w:r w:rsidR="005F3C85">
        <w:t xml:space="preserve"> </w:t>
      </w:r>
    </w:p>
    <w:p w14:paraId="33846CDD" w14:textId="6C68E6C8" w:rsidR="006E24DD" w:rsidRPr="00BD4A5F" w:rsidRDefault="00C47DB4" w:rsidP="068EC54B">
      <w:pPr>
        <w:pStyle w:val="BodyText"/>
        <w:ind w:firstLine="0"/>
      </w:pPr>
      <w:r>
        <w:rPr>
          <w:noProof/>
        </w:rPr>
        <w:drawing>
          <wp:inline distT="0" distB="0" distL="0" distR="0" wp14:anchorId="0F6A86CA" wp14:editId="61EC7CB9">
            <wp:extent cx="5943600" cy="3172460"/>
            <wp:effectExtent l="0" t="0" r="0" b="8890"/>
            <wp:docPr id="405492307" name="Chart 1">
              <a:extLst xmlns:a="http://schemas.openxmlformats.org/drawingml/2006/main">
                <a:ext uri="{FF2B5EF4-FFF2-40B4-BE49-F238E27FC236}">
                  <a16:creationId xmlns:a16="http://schemas.microsoft.com/office/drawing/2014/main" id="{74CE64F7-AE7F-4AC8-94CA-42CF1AFA462F}"/>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5"/>
              </a:graphicData>
            </a:graphic>
          </wp:inline>
        </w:drawing>
      </w:r>
    </w:p>
    <w:p w14:paraId="365572A1" w14:textId="5206C0F1" w:rsidR="007B6ED2" w:rsidRPr="003A568F" w:rsidRDefault="00D573FA" w:rsidP="007B6ED2">
      <w:pPr>
        <w:pStyle w:val="Caption"/>
        <w:rPr>
          <w:rFonts w:ascii="Arial Narrow" w:hAnsi="Arial Narrow"/>
        </w:rPr>
      </w:pPr>
      <w:bookmarkStart w:id="147" w:name="_Ref226926630"/>
      <w:bookmarkStart w:id="148" w:name="_Toc227410307"/>
      <w:r w:rsidRPr="00D573FA">
        <w:rPr>
          <w:rFonts w:ascii="Arial Narrow" w:hAnsi="Arial Narrow"/>
        </w:rPr>
        <w:t xml:space="preserve">Figure </w:t>
      </w:r>
      <w:r w:rsidRPr="00D573FA">
        <w:rPr>
          <w:rFonts w:ascii="Arial Narrow" w:hAnsi="Arial Narrow"/>
        </w:rPr>
        <w:fldChar w:fldCharType="begin"/>
      </w:r>
      <w:r w:rsidRPr="00D573FA">
        <w:rPr>
          <w:rFonts w:ascii="Arial Narrow" w:hAnsi="Arial Narrow"/>
        </w:rPr>
        <w:instrText xml:space="preserve"> SEQ Figure \* ARABIC </w:instrText>
      </w:r>
      <w:r w:rsidRPr="00D573FA">
        <w:rPr>
          <w:rFonts w:ascii="Arial Narrow" w:hAnsi="Arial Narrow"/>
        </w:rPr>
        <w:fldChar w:fldCharType="separate"/>
      </w:r>
      <w:r w:rsidR="00244816">
        <w:rPr>
          <w:rFonts w:ascii="Arial Narrow" w:hAnsi="Arial Narrow"/>
          <w:noProof/>
        </w:rPr>
        <w:t>35</w:t>
      </w:r>
      <w:r w:rsidRPr="00D573FA">
        <w:rPr>
          <w:rFonts w:ascii="Arial Narrow" w:hAnsi="Arial Narrow"/>
        </w:rPr>
        <w:fldChar w:fldCharType="end"/>
      </w:r>
      <w:bookmarkEnd w:id="147"/>
      <w:r w:rsidRPr="00D573FA">
        <w:rPr>
          <w:rFonts w:ascii="Arial Narrow" w:hAnsi="Arial Narrow"/>
        </w:rPr>
        <w:t xml:space="preserve">. </w:t>
      </w:r>
      <w:r w:rsidR="007B6ED2">
        <w:rPr>
          <w:rFonts w:ascii="Arial Narrow" w:hAnsi="Arial Narrow"/>
        </w:rPr>
        <w:t xml:space="preserve">Mean </w:t>
      </w:r>
      <w:r w:rsidR="007B6ED2" w:rsidRPr="00687C34">
        <w:rPr>
          <w:rFonts w:ascii="Arial Narrow" w:hAnsi="Arial Narrow"/>
        </w:rPr>
        <w:t>monthly precipitation</w:t>
      </w:r>
      <w:r w:rsidR="007B6ED2">
        <w:rPr>
          <w:rFonts w:ascii="Arial Narrow" w:hAnsi="Arial Narrow"/>
        </w:rPr>
        <w:t xml:space="preserve"> (P)</w:t>
      </w:r>
      <w:r w:rsidR="007B6ED2" w:rsidRPr="00687C34">
        <w:rPr>
          <w:rFonts w:ascii="Arial Narrow" w:hAnsi="Arial Narrow"/>
        </w:rPr>
        <w:t xml:space="preserve"> and actual ET</w:t>
      </w:r>
      <w:r w:rsidR="007B6ED2">
        <w:rPr>
          <w:rFonts w:ascii="Arial Narrow" w:hAnsi="Arial Narrow"/>
        </w:rPr>
        <w:t xml:space="preserve"> (ETa) in mm</w:t>
      </w:r>
      <w:r w:rsidR="007B6ED2" w:rsidRPr="00687C34">
        <w:rPr>
          <w:rFonts w:ascii="Arial Narrow" w:hAnsi="Arial Narrow"/>
        </w:rPr>
        <w:t xml:space="preserve"> </w:t>
      </w:r>
      <w:r w:rsidR="007B6ED2">
        <w:rPr>
          <w:rFonts w:ascii="Arial Narrow" w:hAnsi="Arial Narrow"/>
        </w:rPr>
        <w:t xml:space="preserve">for </w:t>
      </w:r>
      <w:r w:rsidR="009600E9">
        <w:rPr>
          <w:rFonts w:ascii="Arial Narrow" w:hAnsi="Arial Narrow"/>
        </w:rPr>
        <w:t>Weno</w:t>
      </w:r>
      <w:r w:rsidR="007B6ED2">
        <w:rPr>
          <w:rFonts w:ascii="Arial Narrow" w:hAnsi="Arial Narrow"/>
        </w:rPr>
        <w:t xml:space="preserve"> (2013-2025)</w:t>
      </w:r>
      <w:r w:rsidR="007B6ED2" w:rsidRPr="00687C34">
        <w:rPr>
          <w:rFonts w:ascii="Arial Narrow" w:hAnsi="Arial Narrow"/>
        </w:rPr>
        <w:t>.</w:t>
      </w:r>
      <w:bookmarkEnd w:id="148"/>
      <w:r w:rsidR="007B6ED2" w:rsidRPr="003A568F">
        <w:rPr>
          <w:rFonts w:ascii="Arial Narrow" w:hAnsi="Arial Narrow"/>
        </w:rPr>
        <w:t xml:space="preserve"> </w:t>
      </w:r>
    </w:p>
    <w:p w14:paraId="071B4E01" w14:textId="70F09B85" w:rsidR="007B6ED2" w:rsidRPr="00EA65C9" w:rsidRDefault="007B6ED2" w:rsidP="007B6ED2">
      <w:pPr>
        <w:pStyle w:val="Caption"/>
        <w:ind w:firstLine="720"/>
        <w:rPr>
          <w:rFonts w:ascii="Arial Narrow" w:hAnsi="Arial Narrow"/>
        </w:rPr>
      </w:pPr>
      <w:r>
        <w:rPr>
          <w:rFonts w:ascii="Arial Narrow" w:hAnsi="Arial Narrow"/>
        </w:rPr>
        <w:t xml:space="preserve">Alt. text. Area chart showing the mean </w:t>
      </w:r>
      <w:r w:rsidRPr="00687C34">
        <w:rPr>
          <w:rFonts w:ascii="Arial Narrow" w:hAnsi="Arial Narrow"/>
        </w:rPr>
        <w:t>monthly precipitation</w:t>
      </w:r>
      <w:r>
        <w:rPr>
          <w:rFonts w:ascii="Arial Narrow" w:hAnsi="Arial Narrow"/>
        </w:rPr>
        <w:t xml:space="preserve"> (P)</w:t>
      </w:r>
      <w:r w:rsidRPr="00687C34">
        <w:rPr>
          <w:rFonts w:ascii="Arial Narrow" w:hAnsi="Arial Narrow"/>
        </w:rPr>
        <w:t xml:space="preserve"> and actual ET</w:t>
      </w:r>
      <w:r>
        <w:rPr>
          <w:rFonts w:ascii="Arial Narrow" w:hAnsi="Arial Narrow"/>
        </w:rPr>
        <w:t xml:space="preserve"> (ETa) in mm</w:t>
      </w:r>
      <w:r w:rsidRPr="00687C34">
        <w:rPr>
          <w:rFonts w:ascii="Arial Narrow" w:hAnsi="Arial Narrow"/>
        </w:rPr>
        <w:t xml:space="preserve"> </w:t>
      </w:r>
      <w:r>
        <w:rPr>
          <w:rFonts w:ascii="Arial Narrow" w:hAnsi="Arial Narrow"/>
        </w:rPr>
        <w:t xml:space="preserve">for </w:t>
      </w:r>
      <w:r w:rsidR="009600E9">
        <w:rPr>
          <w:rFonts w:ascii="Arial Narrow" w:hAnsi="Arial Narrow"/>
        </w:rPr>
        <w:t>Weno</w:t>
      </w:r>
      <w:r>
        <w:rPr>
          <w:rFonts w:ascii="Arial Narrow" w:hAnsi="Arial Narrow"/>
        </w:rPr>
        <w:t xml:space="preserve"> (2013-2025) with blue hatch lines and actual ET in mm in green (solid).</w:t>
      </w:r>
    </w:p>
    <w:p w14:paraId="494EBC7B" w14:textId="77777777" w:rsidR="009600E9" w:rsidRDefault="009600E9" w:rsidP="007B6ED2">
      <w:pPr>
        <w:pStyle w:val="Caption"/>
      </w:pPr>
    </w:p>
    <w:p w14:paraId="1846754E" w14:textId="19D8243A" w:rsidR="00201BDC" w:rsidRPr="00433CA0" w:rsidRDefault="00BD4A5F" w:rsidP="007B6ED2">
      <w:pPr>
        <w:pStyle w:val="Caption"/>
      </w:pPr>
      <w:r w:rsidRPr="00BD4A5F">
        <w:t xml:space="preserve">Despite this seasonal contrast, annual actual ET totals on Weno remain relatively stable, reflecting the consistent nature of its tropical maritime climate and the limited variation in solar energy, temperature, and vegetation cover from year to year. </w:t>
      </w:r>
      <w:r w:rsidR="002A4C47" w:rsidRPr="00433CA0">
        <w:t>Annual ET totals from 2013 through 2025</w:t>
      </w:r>
      <w:r w:rsidR="002F12A4" w:rsidRPr="00433CA0">
        <w:t xml:space="preserve"> fall between</w:t>
      </w:r>
      <w:r w:rsidR="002A4C47" w:rsidRPr="00433CA0">
        <w:t xml:space="preserve"> approximately 1,</w:t>
      </w:r>
      <w:r w:rsidR="002F12A4" w:rsidRPr="00433CA0">
        <w:t>241</w:t>
      </w:r>
      <w:r w:rsidR="002A4C47" w:rsidRPr="00433CA0">
        <w:t xml:space="preserve"> and 1,</w:t>
      </w:r>
      <w:r w:rsidR="00DB1E86" w:rsidRPr="00433CA0">
        <w:t>302</w:t>
      </w:r>
      <w:r w:rsidR="002A4C47" w:rsidRPr="00433CA0">
        <w:t xml:space="preserve"> mm per yea</w:t>
      </w:r>
      <w:r w:rsidR="00DB1E86" w:rsidRPr="00433CA0">
        <w:t>r (</w:t>
      </w:r>
      <w:r w:rsidR="00E02341">
        <w:fldChar w:fldCharType="begin"/>
      </w:r>
      <w:r w:rsidR="00E02341">
        <w:instrText xml:space="preserve"> REF _Ref226926790 \h </w:instrText>
      </w:r>
      <w:r w:rsidR="00E02341">
        <w:fldChar w:fldCharType="separate"/>
      </w:r>
      <w:r w:rsidR="00244816" w:rsidRPr="00E02341">
        <w:rPr>
          <w:rFonts w:ascii="Arial Narrow" w:hAnsi="Arial Narrow"/>
        </w:rPr>
        <w:t xml:space="preserve">Figure </w:t>
      </w:r>
      <w:r w:rsidR="00244816">
        <w:rPr>
          <w:rFonts w:ascii="Arial Narrow" w:hAnsi="Arial Narrow"/>
          <w:noProof/>
        </w:rPr>
        <w:t>36</w:t>
      </w:r>
      <w:r w:rsidR="00E02341">
        <w:fldChar w:fldCharType="end"/>
      </w:r>
      <w:r w:rsidR="00DB1E86" w:rsidRPr="00433CA0">
        <w:t>).</w:t>
      </w:r>
    </w:p>
    <w:p w14:paraId="7F8BD1BA" w14:textId="65F361F8" w:rsidR="00DB1E86" w:rsidRDefault="000750AD" w:rsidP="000750AD">
      <w:pPr>
        <w:pStyle w:val="BodyText"/>
        <w:ind w:firstLine="0"/>
      </w:pPr>
      <w:r>
        <w:rPr>
          <w:noProof/>
        </w:rPr>
        <w:drawing>
          <wp:inline distT="0" distB="0" distL="0" distR="0" wp14:anchorId="4502516B" wp14:editId="1EE23A0D">
            <wp:extent cx="6304915" cy="3063834"/>
            <wp:effectExtent l="0" t="0" r="635" b="3810"/>
            <wp:docPr id="890779514" name="Chart 1">
              <a:extLst xmlns:a="http://schemas.openxmlformats.org/drawingml/2006/main">
                <a:ext uri="{FF2B5EF4-FFF2-40B4-BE49-F238E27FC236}">
                  <a16:creationId xmlns:a16="http://schemas.microsoft.com/office/drawing/2014/main" id="{4C7A05E9-5434-4E5A-9FB8-17F85358C863}"/>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6"/>
              </a:graphicData>
            </a:graphic>
          </wp:inline>
        </w:drawing>
      </w:r>
    </w:p>
    <w:p w14:paraId="5A5158C2" w14:textId="3496040C" w:rsidR="00D573FA" w:rsidRPr="00E02341" w:rsidRDefault="00E02341" w:rsidP="00E02341">
      <w:pPr>
        <w:pStyle w:val="Caption"/>
        <w:rPr>
          <w:rFonts w:ascii="Arial Narrow" w:hAnsi="Arial Narrow"/>
        </w:rPr>
      </w:pPr>
      <w:bookmarkStart w:id="149" w:name="_Ref226926790"/>
      <w:bookmarkStart w:id="150" w:name="_Toc227410308"/>
      <w:r w:rsidRPr="00E02341">
        <w:rPr>
          <w:rFonts w:ascii="Arial Narrow" w:hAnsi="Arial Narrow"/>
        </w:rPr>
        <w:t xml:space="preserve">Figure </w:t>
      </w:r>
      <w:r w:rsidRPr="00E02341">
        <w:rPr>
          <w:rFonts w:ascii="Arial Narrow" w:hAnsi="Arial Narrow"/>
        </w:rPr>
        <w:fldChar w:fldCharType="begin"/>
      </w:r>
      <w:r w:rsidRPr="00E02341">
        <w:rPr>
          <w:rFonts w:ascii="Arial Narrow" w:hAnsi="Arial Narrow"/>
        </w:rPr>
        <w:instrText xml:space="preserve"> SEQ Figure \* ARABIC </w:instrText>
      </w:r>
      <w:r w:rsidRPr="00E02341">
        <w:rPr>
          <w:rFonts w:ascii="Arial Narrow" w:hAnsi="Arial Narrow"/>
        </w:rPr>
        <w:fldChar w:fldCharType="separate"/>
      </w:r>
      <w:r w:rsidR="00244816">
        <w:rPr>
          <w:rFonts w:ascii="Arial Narrow" w:hAnsi="Arial Narrow"/>
          <w:noProof/>
        </w:rPr>
        <w:t>36</w:t>
      </w:r>
      <w:r w:rsidRPr="00E02341">
        <w:rPr>
          <w:rFonts w:ascii="Arial Narrow" w:hAnsi="Arial Narrow"/>
        </w:rPr>
        <w:fldChar w:fldCharType="end"/>
      </w:r>
      <w:bookmarkEnd w:id="149"/>
      <w:r w:rsidRPr="00E02341">
        <w:rPr>
          <w:rFonts w:ascii="Arial Narrow" w:hAnsi="Arial Narrow"/>
        </w:rPr>
        <w:t>. Annual actual ET for years 2013 - 2025 in mm.</w:t>
      </w:r>
      <w:bookmarkEnd w:id="150"/>
      <w:r w:rsidR="00D573FA" w:rsidRPr="00E02341">
        <w:rPr>
          <w:rFonts w:ascii="Arial Narrow" w:hAnsi="Arial Narrow"/>
        </w:rPr>
        <w:tab/>
      </w:r>
    </w:p>
    <w:p w14:paraId="7DC6E8CF" w14:textId="77777777" w:rsidR="00D573FA" w:rsidRPr="009F43CC" w:rsidRDefault="00D573FA" w:rsidP="00D573FA">
      <w:pPr>
        <w:pStyle w:val="Caption"/>
        <w:ind w:firstLine="720"/>
        <w:rPr>
          <w:rFonts w:ascii="Arial Narrow" w:hAnsi="Arial Narrow"/>
        </w:rPr>
      </w:pPr>
      <w:r>
        <w:rPr>
          <w:rFonts w:ascii="Arial Narrow" w:hAnsi="Arial Narrow"/>
        </w:rPr>
        <w:t>Alt. text. Bar chart with a</w:t>
      </w:r>
      <w:r w:rsidRPr="00144922">
        <w:rPr>
          <w:rFonts w:ascii="Arial Narrow" w:hAnsi="Arial Narrow"/>
        </w:rPr>
        <w:t>nnual actual ET for years 2013 - 2025 in mm</w:t>
      </w:r>
      <w:r>
        <w:rPr>
          <w:rFonts w:ascii="Arial Narrow" w:hAnsi="Arial Narrow"/>
        </w:rPr>
        <w:t>.</w:t>
      </w:r>
    </w:p>
    <w:p w14:paraId="009A30E6" w14:textId="72D38A63" w:rsidR="00BD4A5F" w:rsidRPr="00BD4A5F" w:rsidRDefault="00BD4A5F" w:rsidP="0093053C">
      <w:pPr>
        <w:pStyle w:val="BodyText"/>
      </w:pPr>
      <w:r>
        <w:t>As a result, year</w:t>
      </w:r>
      <w:r w:rsidR="4298B417">
        <w:t>-</w:t>
      </w:r>
      <w:r>
        <w:t>to</w:t>
      </w:r>
      <w:r w:rsidR="58600047">
        <w:t>-</w:t>
      </w:r>
      <w:r>
        <w:t xml:space="preserve">year differences in freshwater availability on Weno are driven overwhelmingly by precipitation variability rather than changes in ET. When rainfall is abundant, ET does not increase proportionally, meaning that excess precipitation can contribute directly to groundwater lens recharge, surface runoff to storage tanks, or increased soil moisture. Conversely, during prolonged dry periods or </w:t>
      </w:r>
      <w:r w:rsidR="022E88FE">
        <w:t>ENSO driven</w:t>
      </w:r>
      <w:r>
        <w:t xml:space="preserve"> droughts, ET continues at </w:t>
      </w:r>
      <w:r w:rsidR="47406090">
        <w:t>near normal</w:t>
      </w:r>
      <w:r>
        <w:t xml:space="preserve"> rates, steadily drawing down soil moisture and groundwater reserves even as rainfall inputs diminish.</w:t>
      </w:r>
      <w:r w:rsidR="0093053C">
        <w:t xml:space="preserve"> </w:t>
      </w:r>
      <w:proofErr w:type="gramStart"/>
      <w:r>
        <w:t>This dynamic highlights</w:t>
      </w:r>
      <w:proofErr w:type="gramEnd"/>
      <w:r>
        <w:t xml:space="preserve"> a critical vulnerability for Weno: because ET is </w:t>
      </w:r>
      <w:proofErr w:type="gramStart"/>
      <w:r>
        <w:t>steady</w:t>
      </w:r>
      <w:proofErr w:type="gramEnd"/>
      <w:r>
        <w:t xml:space="preserve"> but precipitation is highly variable, any reduction in rainfall translates quickly into reduced net water availability. Thin freshwater lenses and limited storage capacity respond rapidly to this deficit, underscoring the importance of drought preparedness, </w:t>
      </w:r>
      <w:r w:rsidR="36BC9B8A">
        <w:t>water use</w:t>
      </w:r>
      <w:r>
        <w:t xml:space="preserve"> efficiency, and protected </w:t>
      </w:r>
      <w:r w:rsidR="171AC6E3">
        <w:t>rainwater catchment</w:t>
      </w:r>
      <w:r>
        <w:t xml:space="preserve"> infrastructure. Understanding the stability of ET thus provides essential context for interpreting Weno’s precipitation patterns, </w:t>
      </w:r>
      <w:r w:rsidR="00ED5973">
        <w:t>water balance</w:t>
      </w:r>
      <w:r>
        <w:t xml:space="preserve"> behavior, and the degree of stress placed on local freshwater systems during dry periods.</w:t>
      </w:r>
    </w:p>
    <w:p w14:paraId="2915FE37" w14:textId="77777777" w:rsidR="00D92AEE" w:rsidRDefault="00D92AEE" w:rsidP="00D92AEE">
      <w:pPr>
        <w:pStyle w:val="Head3"/>
      </w:pPr>
      <w:bookmarkStart w:id="151" w:name="_Toc228288454"/>
      <w:r w:rsidRPr="00FD18F8">
        <w:t>Water Balance</w:t>
      </w:r>
      <w:bookmarkEnd w:id="151"/>
    </w:p>
    <w:p w14:paraId="08303488" w14:textId="55435092" w:rsidR="00E4509B" w:rsidRDefault="00E4509B" w:rsidP="00E4509B">
      <w:pPr>
        <w:pStyle w:val="BodyText"/>
      </w:pPr>
      <w:r>
        <w:t xml:space="preserve">The water balance </w:t>
      </w:r>
      <w:r w:rsidR="0057790F">
        <w:t xml:space="preserve">or net water availability </w:t>
      </w:r>
      <w:r w:rsidR="005010FD">
        <w:t>reflects</w:t>
      </w:r>
      <w:r>
        <w:t xml:space="preserve"> the interaction between substantial but highly variable precipitation, relatively stable evapotranspiration, and the island’s limited capacity to store freshwater. Because actual ET varies much less than rainfall, the net water availability (</w:t>
      </w:r>
      <w:r w:rsidR="002530F5">
        <w:t>P</w:t>
      </w:r>
      <w:r>
        <w:t xml:space="preserve"> minus </w:t>
      </w:r>
      <w:r w:rsidR="002530F5">
        <w:t xml:space="preserve">actual </w:t>
      </w:r>
      <w:r>
        <w:t>ET) is driven almost entirely by fluctuations in precipitation rather than changes in atmospheric demand. As a result, Weno’s hydrologic system is characterized by periods of pronounced surplus during wet months and rapid deficits during dry spells</w:t>
      </w:r>
      <w:r w:rsidR="00CE3AA6">
        <w:t xml:space="preserve"> (</w:t>
      </w:r>
      <w:r w:rsidR="002530F5">
        <w:fldChar w:fldCharType="begin"/>
      </w:r>
      <w:r w:rsidR="002530F5">
        <w:instrText xml:space="preserve"> REF _Ref226926951 \h </w:instrText>
      </w:r>
      <w:r w:rsidR="002530F5">
        <w:fldChar w:fldCharType="separate"/>
      </w:r>
      <w:r w:rsidR="00244816" w:rsidRPr="002530F5">
        <w:rPr>
          <w:rFonts w:ascii="Arial Narrow" w:hAnsi="Arial Narrow"/>
        </w:rPr>
        <w:t xml:space="preserve">Figure </w:t>
      </w:r>
      <w:r w:rsidR="00244816">
        <w:rPr>
          <w:rFonts w:ascii="Arial Narrow" w:hAnsi="Arial Narrow"/>
          <w:noProof/>
        </w:rPr>
        <w:t>37</w:t>
      </w:r>
      <w:r w:rsidR="002530F5">
        <w:fldChar w:fldCharType="end"/>
      </w:r>
      <w:r w:rsidR="00CE3AA6">
        <w:t>)</w:t>
      </w:r>
      <w:r>
        <w:t>.</w:t>
      </w:r>
      <w:r w:rsidR="00580277">
        <w:t xml:space="preserve"> Extremely wet months with large surpluses are </w:t>
      </w:r>
      <w:r w:rsidR="00C557A3">
        <w:t>February</w:t>
      </w:r>
      <w:r w:rsidR="00580277">
        <w:t xml:space="preserve"> 201</w:t>
      </w:r>
      <w:r w:rsidR="00C557A3">
        <w:t>4</w:t>
      </w:r>
      <w:r w:rsidR="00580277">
        <w:t xml:space="preserve"> </w:t>
      </w:r>
      <w:r w:rsidR="00C557A3">
        <w:t xml:space="preserve">(517 </w:t>
      </w:r>
      <w:r w:rsidR="00580277">
        <w:t>mm) and May 2021 (</w:t>
      </w:r>
      <w:r w:rsidR="00AC531F">
        <w:t>460</w:t>
      </w:r>
      <w:r w:rsidR="00580277">
        <w:t xml:space="preserve"> mm). Lower surplus months are </w:t>
      </w:r>
      <w:r w:rsidR="00723F1D">
        <w:t>commonly in February/</w:t>
      </w:r>
      <w:r w:rsidR="00580277">
        <w:t>March</w:t>
      </w:r>
      <w:r w:rsidR="00723F1D">
        <w:t xml:space="preserve"> with </w:t>
      </w:r>
      <w:r w:rsidR="002E7EF2">
        <w:t>the year 2016</w:t>
      </w:r>
      <w:r w:rsidR="00580277">
        <w:t xml:space="preserve"> and </w:t>
      </w:r>
      <w:r w:rsidR="002E7EF2">
        <w:t xml:space="preserve">2020 </w:t>
      </w:r>
      <w:r w:rsidR="000656E0">
        <w:t>showing dry spells</w:t>
      </w:r>
      <w:r w:rsidR="00580277">
        <w:t>.</w:t>
      </w:r>
    </w:p>
    <w:p w14:paraId="44417032" w14:textId="0EEE3643" w:rsidR="00CE3AA6" w:rsidRDefault="00BA09FB" w:rsidP="00BA09FB">
      <w:pPr>
        <w:pStyle w:val="BodyText"/>
        <w:ind w:firstLine="0"/>
      </w:pPr>
      <w:r>
        <w:rPr>
          <w:noProof/>
        </w:rPr>
        <w:drawing>
          <wp:inline distT="0" distB="0" distL="0" distR="0" wp14:anchorId="63A45D03" wp14:editId="4B2002CB">
            <wp:extent cx="6283325" cy="3019646"/>
            <wp:effectExtent l="0" t="0" r="3175" b="0"/>
            <wp:docPr id="622975008" name="Chart 1">
              <a:extLst xmlns:a="http://schemas.openxmlformats.org/drawingml/2006/main">
                <a:ext uri="{FF2B5EF4-FFF2-40B4-BE49-F238E27FC236}">
                  <a16:creationId xmlns:a16="http://schemas.microsoft.com/office/drawing/2014/main" id="{67CB1711-818E-4F8E-8F86-5F10A462381A}"/>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7"/>
              </a:graphicData>
            </a:graphic>
          </wp:inline>
        </w:drawing>
      </w:r>
    </w:p>
    <w:p w14:paraId="52D1AEDD" w14:textId="5EB5F317" w:rsidR="002530F5" w:rsidRPr="002530F5" w:rsidRDefault="002530F5" w:rsidP="002530F5">
      <w:pPr>
        <w:pStyle w:val="Caption"/>
        <w:rPr>
          <w:rFonts w:ascii="Arial Narrow" w:hAnsi="Arial Narrow"/>
        </w:rPr>
      </w:pPr>
      <w:bookmarkStart w:id="152" w:name="_Ref226926951"/>
      <w:bookmarkStart w:id="153" w:name="_Toc227410309"/>
      <w:r w:rsidRPr="002530F5">
        <w:rPr>
          <w:rFonts w:ascii="Arial Narrow" w:hAnsi="Arial Narrow"/>
        </w:rPr>
        <w:t xml:space="preserve">Figure </w:t>
      </w:r>
      <w:r w:rsidRPr="002530F5">
        <w:rPr>
          <w:rFonts w:ascii="Arial Narrow" w:hAnsi="Arial Narrow"/>
        </w:rPr>
        <w:fldChar w:fldCharType="begin"/>
      </w:r>
      <w:r w:rsidRPr="002530F5">
        <w:rPr>
          <w:rFonts w:ascii="Arial Narrow" w:hAnsi="Arial Narrow"/>
        </w:rPr>
        <w:instrText xml:space="preserve"> SEQ Figure \* ARABIC </w:instrText>
      </w:r>
      <w:r w:rsidRPr="002530F5">
        <w:rPr>
          <w:rFonts w:ascii="Arial Narrow" w:hAnsi="Arial Narrow"/>
        </w:rPr>
        <w:fldChar w:fldCharType="separate"/>
      </w:r>
      <w:r w:rsidR="00244816">
        <w:rPr>
          <w:rFonts w:ascii="Arial Narrow" w:hAnsi="Arial Narrow"/>
          <w:noProof/>
        </w:rPr>
        <w:t>37</w:t>
      </w:r>
      <w:r w:rsidRPr="002530F5">
        <w:rPr>
          <w:rFonts w:ascii="Arial Narrow" w:hAnsi="Arial Narrow"/>
        </w:rPr>
        <w:fldChar w:fldCharType="end"/>
      </w:r>
      <w:bookmarkEnd w:id="152"/>
      <w:r w:rsidRPr="002530F5">
        <w:rPr>
          <w:rFonts w:ascii="Arial Narrow" w:hAnsi="Arial Narrow"/>
        </w:rPr>
        <w:t>. Monthly net water availability for years 2012 - 2025 in mm.</w:t>
      </w:r>
      <w:bookmarkEnd w:id="153"/>
    </w:p>
    <w:p w14:paraId="4A609DB9" w14:textId="7F96AF58" w:rsidR="00711672" w:rsidRPr="00AF309D" w:rsidRDefault="00711672" w:rsidP="002530F5">
      <w:pPr>
        <w:pStyle w:val="Caption"/>
        <w:rPr>
          <w:rFonts w:ascii="Arial Narrow" w:hAnsi="Arial Narrow"/>
        </w:rPr>
      </w:pPr>
      <w:r>
        <w:rPr>
          <w:rFonts w:ascii="Arial Narrow" w:hAnsi="Arial Narrow"/>
        </w:rPr>
        <w:tab/>
        <w:t>Alt. text. Bar chart showing m</w:t>
      </w:r>
      <w:r w:rsidRPr="00233067">
        <w:rPr>
          <w:rFonts w:ascii="Arial Narrow" w:hAnsi="Arial Narrow"/>
        </w:rPr>
        <w:t>onthly net water availability for years 2012 - 2025 in mm.</w:t>
      </w:r>
    </w:p>
    <w:p w14:paraId="1B635C8A" w14:textId="106EB745" w:rsidR="00045D91" w:rsidRDefault="00E4509B" w:rsidP="00F97E16">
      <w:pPr>
        <w:pStyle w:val="BodyText"/>
      </w:pPr>
      <w:r>
        <w:t>During the wet season, frequent rainfall and high humidity produce consistently positive monthly water balances. In these months, precipitation commonly exceeds evapotranspiration by several hundred millimeters, contributing directly to increased soil moisture, temporary surface runoff, and recharge of the island’s thin freshwater lenses. Because ET does not rise proportionally during wetter periods, nearly all excess rainfall becomes available for water‑resource replenishment. These episodic surpluses are critical for sustaining groundwater supplies that communities rely on during drier months.</w:t>
      </w:r>
      <w:r w:rsidR="00A5487E">
        <w:t xml:space="preserve"> </w:t>
      </w:r>
      <w:r>
        <w:t>In contrast, during the dry season or during ENSO‑related drought events, Weno experiences substantial reductions in net water availability.</w:t>
      </w:r>
      <w:r w:rsidR="00045D91">
        <w:t xml:space="preserve"> Even as rainfall declines sharply, ET continues at near‑normal levels, steadily drawing water from soils and groundwater lenses. This mismatch between input and atmospheric demand leads to rapid lens thinning, heightened salinity intrusion, and increased pressure on rainwater‑harvesting systems. Weno’s small landmass, limited storage infrastructure, and high population density amplify these effects, making the island particularly sensitive to multi‑week and multi‑month rainfall deficits.</w:t>
      </w:r>
      <w:r w:rsidR="00B53F92">
        <w:t xml:space="preserve"> Interannual variability further reinforces this pattern (</w:t>
      </w:r>
      <w:r w:rsidR="00954EE8">
        <w:fldChar w:fldCharType="begin"/>
      </w:r>
      <w:r w:rsidR="00954EE8">
        <w:instrText xml:space="preserve"> REF _Ref226927220 \h </w:instrText>
      </w:r>
      <w:r w:rsidR="00954EE8">
        <w:fldChar w:fldCharType="separate"/>
      </w:r>
      <w:r w:rsidR="00244816" w:rsidRPr="00B53F92">
        <w:rPr>
          <w:rFonts w:ascii="Arial Narrow" w:hAnsi="Arial Narrow"/>
        </w:rPr>
        <w:t xml:space="preserve">Figure </w:t>
      </w:r>
      <w:r w:rsidR="00244816">
        <w:rPr>
          <w:rFonts w:ascii="Arial Narrow" w:hAnsi="Arial Narrow"/>
          <w:noProof/>
        </w:rPr>
        <w:t>38</w:t>
      </w:r>
      <w:r w:rsidR="00954EE8">
        <w:fldChar w:fldCharType="end"/>
      </w:r>
      <w:r w:rsidR="00B53F92">
        <w:t>). Wet years with strong precipitation anomalies yield large annual surpluses, such as 2023, supporting broader freshwater availability across the island. Dry years, such as 2016 and 2020, however, can produce extended periods of negative or near‑zero net water, stressing both natural and human‑built systems.</w:t>
      </w:r>
    </w:p>
    <w:p w14:paraId="29B8B5A3" w14:textId="2F62325C" w:rsidR="00C23DF8" w:rsidRDefault="00C23DF8" w:rsidP="068EC54B">
      <w:pPr>
        <w:pStyle w:val="BodyText"/>
        <w:ind w:firstLine="0"/>
      </w:pPr>
    </w:p>
    <w:p w14:paraId="4487859D" w14:textId="6A9EBB53" w:rsidR="007D5F4F" w:rsidRDefault="00D400A7" w:rsidP="068EC54B">
      <w:pPr>
        <w:pStyle w:val="BodyText"/>
        <w:ind w:firstLine="0"/>
      </w:pPr>
      <w:r>
        <w:rPr>
          <w:noProof/>
        </w:rPr>
        <w:drawing>
          <wp:inline distT="0" distB="0" distL="0" distR="0" wp14:anchorId="66854DD2" wp14:editId="37628AE7">
            <wp:extent cx="5943600" cy="2936240"/>
            <wp:effectExtent l="0" t="0" r="0" b="0"/>
            <wp:docPr id="1948951355" name="Chart 1">
              <a:extLst xmlns:a="http://schemas.openxmlformats.org/drawingml/2006/main">
                <a:ext uri="{FF2B5EF4-FFF2-40B4-BE49-F238E27FC236}">
                  <a16:creationId xmlns:a16="http://schemas.microsoft.com/office/drawing/2014/main" id="{2C868F1A-EFC6-4755-90E2-9F7112A6A89E}"/>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8"/>
              </a:graphicData>
            </a:graphic>
          </wp:inline>
        </w:drawing>
      </w:r>
    </w:p>
    <w:p w14:paraId="04301162" w14:textId="3EE66CD0" w:rsidR="00B53F92" w:rsidRPr="00B53F92" w:rsidRDefault="00B53F92" w:rsidP="00B53F92">
      <w:pPr>
        <w:pStyle w:val="Caption"/>
        <w:rPr>
          <w:rFonts w:ascii="Arial Narrow" w:hAnsi="Arial Narrow"/>
        </w:rPr>
      </w:pPr>
      <w:bookmarkStart w:id="154" w:name="_Ref226927220"/>
      <w:bookmarkStart w:id="155" w:name="_Toc227410310"/>
      <w:r w:rsidRPr="5D4249CE">
        <w:rPr>
          <w:rFonts w:ascii="Arial Narrow" w:hAnsi="Arial Narrow"/>
        </w:rPr>
        <w:t xml:space="preserve">Figure </w:t>
      </w:r>
      <w:r w:rsidRPr="5D4249CE">
        <w:rPr>
          <w:rFonts w:ascii="Arial Narrow" w:hAnsi="Arial Narrow"/>
        </w:rPr>
        <w:fldChar w:fldCharType="begin"/>
      </w:r>
      <w:r w:rsidRPr="5D4249CE">
        <w:rPr>
          <w:rFonts w:ascii="Arial Narrow" w:hAnsi="Arial Narrow"/>
        </w:rPr>
        <w:instrText xml:space="preserve"> SEQ Figure \* ARABIC </w:instrText>
      </w:r>
      <w:r w:rsidRPr="5D4249CE">
        <w:rPr>
          <w:rFonts w:ascii="Arial Narrow" w:hAnsi="Arial Narrow"/>
        </w:rPr>
        <w:fldChar w:fldCharType="separate"/>
      </w:r>
      <w:r w:rsidR="00244816" w:rsidRPr="5D4249CE">
        <w:rPr>
          <w:rFonts w:ascii="Arial Narrow" w:hAnsi="Arial Narrow"/>
          <w:noProof/>
        </w:rPr>
        <w:t>38</w:t>
      </w:r>
      <w:r w:rsidRPr="5D4249CE">
        <w:rPr>
          <w:rFonts w:ascii="Arial Narrow" w:hAnsi="Arial Narrow"/>
        </w:rPr>
        <w:fldChar w:fldCharType="end"/>
      </w:r>
      <w:bookmarkEnd w:id="154"/>
      <w:r w:rsidRPr="5D4249CE">
        <w:rPr>
          <w:rFonts w:ascii="Arial Narrow" w:hAnsi="Arial Narrow"/>
        </w:rPr>
        <w:t>. Net water availability per year in mm.</w:t>
      </w:r>
      <w:bookmarkEnd w:id="155"/>
    </w:p>
    <w:p w14:paraId="3F4EAE0F" w14:textId="5BCDE0A5" w:rsidR="00B53F92" w:rsidRDefault="00B53F92" w:rsidP="00B53F92">
      <w:pPr>
        <w:pStyle w:val="Caption"/>
        <w:ind w:firstLine="720"/>
        <w:rPr>
          <w:rFonts w:ascii="Arial Narrow" w:hAnsi="Arial Narrow"/>
        </w:rPr>
      </w:pPr>
      <w:r>
        <w:rPr>
          <w:rFonts w:ascii="Arial Narrow" w:hAnsi="Arial Narrow"/>
        </w:rPr>
        <w:t>Alt. text. Horizontal bar chart showing n</w:t>
      </w:r>
      <w:r w:rsidRPr="00AF309D">
        <w:rPr>
          <w:rFonts w:ascii="Arial Narrow" w:hAnsi="Arial Narrow"/>
        </w:rPr>
        <w:t>et water availability per year in mm</w:t>
      </w:r>
      <w:r>
        <w:rPr>
          <w:rFonts w:ascii="Arial Narrow" w:hAnsi="Arial Narrow"/>
        </w:rPr>
        <w:t xml:space="preserve"> for 2013 to 2024 starting with 2024 at the top.</w:t>
      </w:r>
    </w:p>
    <w:p w14:paraId="0C8B4BB8" w14:textId="5A4D8B64" w:rsidR="00E4509B" w:rsidRDefault="00E4509B" w:rsidP="00E4509B">
      <w:pPr>
        <w:pStyle w:val="BodyText"/>
      </w:pPr>
      <w:r>
        <w:t>Because ET remains comparatively steady from year to year, these deficits arise almost entirely from reductions in rainfall, underscoring the island’s reliance on consistent precipitation for freshwater security.</w:t>
      </w:r>
    </w:p>
    <w:p w14:paraId="14372C7F" w14:textId="56E49C9F" w:rsidR="00682E86" w:rsidRDefault="00E4509B" w:rsidP="00E4509B">
      <w:pPr>
        <w:pStyle w:val="BodyText"/>
      </w:pPr>
      <w:r>
        <w:t>Overall, Weno’s water balance demonstrates that the island’s hydrologic resilience depends heavily on effective rainwater capture, careful groundwater‑lens management, and proactive drought‑preparedness strategies. The stability of ET simplifies long‑term water‑balance interpretation, but it also means that any substantial reduction in rainfall translates directly into reduced freshwater availability. Understanding these dynamics is essential for supporting sustainable water supply, anticipating drought impacts, and guiding infrastructure planning for the island’s communities.</w:t>
      </w:r>
    </w:p>
    <w:p w14:paraId="79ABDC79" w14:textId="77777777" w:rsidR="00B6551F" w:rsidRDefault="00B6551F" w:rsidP="00B6551F">
      <w:pPr>
        <w:pStyle w:val="Head3"/>
      </w:pPr>
      <w:bookmarkStart w:id="156" w:name="_Toc228288455"/>
      <w:r w:rsidRPr="004836C2">
        <w:t>Drought Monitoring</w:t>
      </w:r>
      <w:bookmarkEnd w:id="156"/>
    </w:p>
    <w:p w14:paraId="5136035E" w14:textId="77777777" w:rsidR="00B6551F" w:rsidRDefault="00B6551F" w:rsidP="00B6551F">
      <w:pPr>
        <w:rPr>
          <w:rFonts w:ascii="Arial" w:hAnsi="Arial" w:cs="Arial"/>
          <w:i/>
          <w:iCs/>
          <w:sz w:val="22"/>
          <w:szCs w:val="22"/>
        </w:rPr>
      </w:pPr>
      <w:r w:rsidRPr="00E86A5D">
        <w:rPr>
          <w:rFonts w:ascii="Arial" w:hAnsi="Arial" w:cs="Arial"/>
          <w:i/>
          <w:iCs/>
          <w:sz w:val="22"/>
          <w:szCs w:val="22"/>
        </w:rPr>
        <w:t xml:space="preserve">Rainfall Index </w:t>
      </w:r>
    </w:p>
    <w:p w14:paraId="4528B074" w14:textId="320DBBFB" w:rsidR="00584966" w:rsidRDefault="00584966" w:rsidP="00584966">
      <w:r>
        <w:t>The Weno Rainfall Index record (</w:t>
      </w:r>
      <w:r>
        <w:fldChar w:fldCharType="begin"/>
      </w:r>
      <w:r>
        <w:instrText xml:space="preserve"> REF _Ref227364639 \h  \* MERGEFORMAT </w:instrText>
      </w:r>
      <w:r>
        <w:fldChar w:fldCharType="separate"/>
      </w:r>
      <w:r w:rsidR="00244816">
        <w:t xml:space="preserve">Figure </w:t>
      </w:r>
      <w:r w:rsidR="00244816">
        <w:rPr>
          <w:noProof/>
        </w:rPr>
        <w:t>39</w:t>
      </w:r>
      <w:r>
        <w:fldChar w:fldCharType="end"/>
      </w:r>
      <w:r>
        <w:t>) shows Drier classifications in 66 of 314 months (21 percent) and Dry in 60 months (19 percent) at the 1-month timescale. The PEAC index classified 20 months as Red and 90 as Yellow. At the 6-month timescale, 68 months were Drier and 61 were Dry, indicating that cumulative deficits occur with similar frequency to single-month shortfalls, though different months may be involved.</w:t>
      </w:r>
    </w:p>
    <w:p w14:paraId="7A0972E6" w14:textId="77777777" w:rsidR="00584966" w:rsidRDefault="00584966" w:rsidP="00584966">
      <w:pPr>
        <w:keepNext/>
        <w:spacing w:before="160" w:after="60"/>
      </w:pPr>
      <w:r>
        <w:rPr>
          <w:noProof/>
        </w:rPr>
        <w:drawing>
          <wp:inline distT="0" distB="0" distL="0" distR="0" wp14:anchorId="7508AF9D" wp14:editId="69460628">
            <wp:extent cx="5715000" cy="4953000"/>
            <wp:effectExtent l="0" t="0" r="0" b="0"/>
            <wp:docPr id="1415614809" name="Weno RI Time Series" descr="Three-panel quintile-based Rainfall Index time series for Weno." title="Weno RI Time Seri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49"/>
                    <a:srcRect/>
                    <a:stretch>
                      <a:fillRect/>
                    </a:stretch>
                  </pic:blipFill>
                  <pic:spPr bwMode="auto">
                    <a:xfrm>
                      <a:off x="0" y="0"/>
                      <a:ext cx="5715000" cy="4953000"/>
                    </a:xfrm>
                    <a:prstGeom prst="rect">
                      <a:avLst/>
                    </a:prstGeom>
                  </pic:spPr>
                </pic:pic>
              </a:graphicData>
            </a:graphic>
          </wp:inline>
        </w:drawing>
      </w:r>
    </w:p>
    <w:p w14:paraId="4506229D" w14:textId="41C8385C" w:rsidR="00584966" w:rsidRDefault="00584966" w:rsidP="00584966">
      <w:pPr>
        <w:pStyle w:val="Caption"/>
      </w:pPr>
      <w:bookmarkStart w:id="157" w:name="_Ref227364639"/>
      <w:bookmarkStart w:id="158" w:name="_Toc227410311"/>
      <w:r>
        <w:t xml:space="preserve">Figure </w:t>
      </w:r>
      <w:r>
        <w:fldChar w:fldCharType="begin"/>
      </w:r>
      <w:r>
        <w:instrText xml:space="preserve"> SEQ Figure \* ARABIC </w:instrText>
      </w:r>
      <w:r>
        <w:fldChar w:fldCharType="separate"/>
      </w:r>
      <w:r w:rsidR="00244816">
        <w:rPr>
          <w:noProof/>
        </w:rPr>
        <w:t>39</w:t>
      </w:r>
      <w:r>
        <w:fldChar w:fldCharType="end"/>
      </w:r>
      <w:bookmarkEnd w:id="157"/>
      <w:r>
        <w:t xml:space="preserve">. </w:t>
      </w:r>
      <w:r w:rsidRPr="007D1D8A">
        <w:t>Quintile-based Rainfall Index time series for Weno (Chuuk) showing (A) 1-month, (B) 3-month, and (C) 6-month accumulation windows.</w:t>
      </w:r>
      <w:bookmarkEnd w:id="158"/>
    </w:p>
    <w:p w14:paraId="202C1F44" w14:textId="77777777" w:rsidR="00B6551F" w:rsidRPr="004C2480" w:rsidRDefault="00B6551F" w:rsidP="00B6551F">
      <w:pPr>
        <w:spacing w:before="240" w:after="0"/>
        <w:rPr>
          <w:rFonts w:ascii="Arial" w:hAnsi="Arial" w:cs="Arial"/>
          <w:i/>
          <w:iCs/>
          <w:sz w:val="22"/>
          <w:szCs w:val="22"/>
        </w:rPr>
      </w:pPr>
      <w:r w:rsidRPr="004C2480">
        <w:rPr>
          <w:rFonts w:ascii="Arial" w:hAnsi="Arial" w:cs="Arial"/>
          <w:i/>
          <w:iCs/>
          <w:sz w:val="22"/>
          <w:szCs w:val="22"/>
        </w:rPr>
        <w:t>Notable Drought Episodes</w:t>
      </w:r>
    </w:p>
    <w:p w14:paraId="560FF1EA" w14:textId="77777777" w:rsidR="00FA3ABF" w:rsidRDefault="00860C05" w:rsidP="00FA3ABF">
      <w:r>
        <w:t>The most prolonged drought at Weno occurred from February through October 2016, when 9 consecutive months were classified as Drier or Dry at the 1-month timescale, with 7 months in the Drier category. All 9 months also received Drier classifications at both the 3-month and 6-month windows, indicating severe cumulative deficits across all timescales. The PEAC index classified 2 months as Red during this period, with a minimum monthly precipitation of 23.0 millimeters. This event mirrors the 2015–2016 drought observed at Yap and across the broader Pacific.</w:t>
      </w:r>
    </w:p>
    <w:p w14:paraId="3CC0851C" w14:textId="77777777" w:rsidR="00860C05" w:rsidRDefault="00860C05" w:rsidP="00FA3ABF">
      <w:pPr>
        <w:ind w:firstLine="720"/>
      </w:pPr>
      <w:r>
        <w:t>Additional significant episodes include February through May 2010 (4 months, 3 Drier at 1-month, minimum 14.0 millimeters, 1 PEAC-Red); a 6-month Drier/Dry period from April through September 2013; and February through April 2020 (3 months, all 3 Drier at 1-month, 3 PEAC-Red, minimum 60.0 millimeters). The most recent below-normal period, May through July 2025, showed 3 consecutive Drier/Dry months with Drier classifications propagating through the 3-month and 6-month windows.</w:t>
      </w:r>
    </w:p>
    <w:p w14:paraId="49DB8554" w14:textId="4FAF3BB0" w:rsidR="00083F46" w:rsidRPr="00CA597F" w:rsidRDefault="00083F46" w:rsidP="00083F46">
      <w:pPr>
        <w:pStyle w:val="Caption"/>
        <w:keepNext/>
        <w:rPr>
          <w:rFonts w:ascii="Arial Narrow" w:hAnsi="Arial Narrow"/>
          <w:szCs w:val="24"/>
        </w:rPr>
      </w:pPr>
      <w:bookmarkStart w:id="159" w:name="_Toc228288470"/>
      <w:r w:rsidRPr="00CA597F">
        <w:rPr>
          <w:rFonts w:ascii="Arial Narrow" w:hAnsi="Arial Narrow"/>
          <w:szCs w:val="24"/>
        </w:rPr>
        <w:t xml:space="preserve">Table </w:t>
      </w:r>
      <w:r w:rsidRPr="00CA597F">
        <w:rPr>
          <w:rFonts w:ascii="Arial Narrow" w:hAnsi="Arial Narrow"/>
          <w:szCs w:val="24"/>
        </w:rPr>
        <w:fldChar w:fldCharType="begin"/>
      </w:r>
      <w:r w:rsidRPr="00CA597F">
        <w:rPr>
          <w:rFonts w:ascii="Arial Narrow" w:hAnsi="Arial Narrow"/>
          <w:szCs w:val="24"/>
        </w:rPr>
        <w:instrText xml:space="preserve"> SEQ Table \* ARABIC </w:instrText>
      </w:r>
      <w:r w:rsidRPr="00CA597F">
        <w:rPr>
          <w:rFonts w:ascii="Arial Narrow" w:hAnsi="Arial Narrow"/>
          <w:szCs w:val="24"/>
        </w:rPr>
        <w:fldChar w:fldCharType="separate"/>
      </w:r>
      <w:r w:rsidR="00244816">
        <w:rPr>
          <w:rFonts w:ascii="Arial Narrow" w:hAnsi="Arial Narrow"/>
          <w:noProof/>
          <w:szCs w:val="24"/>
        </w:rPr>
        <w:t>10</w:t>
      </w:r>
      <w:r w:rsidRPr="00CA597F">
        <w:rPr>
          <w:rFonts w:ascii="Arial Narrow" w:hAnsi="Arial Narrow"/>
          <w:szCs w:val="24"/>
        </w:rPr>
        <w:fldChar w:fldCharType="end"/>
      </w:r>
      <w:r w:rsidRPr="00CA597F">
        <w:rPr>
          <w:rFonts w:ascii="Arial Narrow" w:hAnsi="Arial Narrow"/>
          <w:szCs w:val="24"/>
        </w:rPr>
        <w:t>. Summary of notable drought episodes at Weno (Chuuk).</w:t>
      </w:r>
      <w:bookmarkEnd w:id="159"/>
    </w:p>
    <w:tbl>
      <w:tblPr>
        <w:tblStyle w:val="TableGrid"/>
        <w:tblW w:w="9360" w:type="dxa"/>
        <w:tblLook w:val="04A0" w:firstRow="1" w:lastRow="0" w:firstColumn="1" w:lastColumn="0" w:noHBand="0" w:noVBand="1"/>
      </w:tblPr>
      <w:tblGrid>
        <w:gridCol w:w="2245"/>
        <w:gridCol w:w="1555"/>
        <w:gridCol w:w="1800"/>
        <w:gridCol w:w="1800"/>
        <w:gridCol w:w="1960"/>
      </w:tblGrid>
      <w:tr w:rsidR="00860C05" w:rsidRPr="00CA597F" w14:paraId="4514E7DA" w14:textId="77777777" w:rsidTr="00CA597F">
        <w:tc>
          <w:tcPr>
            <w:tcW w:w="2245" w:type="dxa"/>
          </w:tcPr>
          <w:p w14:paraId="40BF5A9D" w14:textId="77777777" w:rsidR="00860C05" w:rsidRPr="00CA597F" w:rsidRDefault="00860C05">
            <w:pPr>
              <w:rPr>
                <w:rFonts w:ascii="Arial Narrow" w:hAnsi="Arial Narrow"/>
              </w:rPr>
            </w:pPr>
            <w:r w:rsidRPr="00CA597F">
              <w:rPr>
                <w:rFonts w:ascii="Arial Narrow" w:hAnsi="Arial Narrow"/>
                <w:b/>
                <w:bCs/>
              </w:rPr>
              <w:t>Episode</w:t>
            </w:r>
          </w:p>
        </w:tc>
        <w:tc>
          <w:tcPr>
            <w:tcW w:w="1555" w:type="dxa"/>
          </w:tcPr>
          <w:p w14:paraId="080411E7" w14:textId="77777777" w:rsidR="00860C05" w:rsidRPr="00CA597F" w:rsidRDefault="00860C05">
            <w:pPr>
              <w:rPr>
                <w:rFonts w:ascii="Arial Narrow" w:hAnsi="Arial Narrow"/>
              </w:rPr>
            </w:pPr>
            <w:r w:rsidRPr="00CA597F">
              <w:rPr>
                <w:rFonts w:ascii="Arial Narrow" w:hAnsi="Arial Narrow"/>
                <w:b/>
                <w:bCs/>
              </w:rPr>
              <w:t>Duration (months)</w:t>
            </w:r>
          </w:p>
        </w:tc>
        <w:tc>
          <w:tcPr>
            <w:tcW w:w="1800" w:type="dxa"/>
          </w:tcPr>
          <w:p w14:paraId="1F2F8EBB" w14:textId="77777777" w:rsidR="00860C05" w:rsidRPr="00CA597F" w:rsidRDefault="00860C05">
            <w:pPr>
              <w:rPr>
                <w:rFonts w:ascii="Arial Narrow" w:hAnsi="Arial Narrow"/>
              </w:rPr>
            </w:pPr>
            <w:r w:rsidRPr="00CA597F">
              <w:rPr>
                <w:rFonts w:ascii="Arial Narrow" w:hAnsi="Arial Narrow"/>
                <w:b/>
                <w:bCs/>
              </w:rPr>
              <w:t>Drier Months (1-mo)</w:t>
            </w:r>
          </w:p>
        </w:tc>
        <w:tc>
          <w:tcPr>
            <w:tcW w:w="1800" w:type="dxa"/>
          </w:tcPr>
          <w:p w14:paraId="7E835E2B" w14:textId="77777777" w:rsidR="00860C05" w:rsidRPr="00CA597F" w:rsidRDefault="00860C05">
            <w:pPr>
              <w:rPr>
                <w:rFonts w:ascii="Arial Narrow" w:hAnsi="Arial Narrow"/>
              </w:rPr>
            </w:pPr>
            <w:r w:rsidRPr="00CA597F">
              <w:rPr>
                <w:rFonts w:ascii="Arial Narrow" w:hAnsi="Arial Narrow"/>
                <w:b/>
                <w:bCs/>
              </w:rPr>
              <w:t>PEAC-Red Months</w:t>
            </w:r>
          </w:p>
        </w:tc>
        <w:tc>
          <w:tcPr>
            <w:tcW w:w="1960" w:type="dxa"/>
          </w:tcPr>
          <w:p w14:paraId="10C08758" w14:textId="77777777" w:rsidR="00860C05" w:rsidRPr="00CA597F" w:rsidRDefault="00860C05">
            <w:pPr>
              <w:rPr>
                <w:rFonts w:ascii="Arial Narrow" w:hAnsi="Arial Narrow"/>
              </w:rPr>
            </w:pPr>
            <w:r w:rsidRPr="00CA597F">
              <w:rPr>
                <w:rFonts w:ascii="Arial Narrow" w:hAnsi="Arial Narrow"/>
                <w:b/>
                <w:bCs/>
              </w:rPr>
              <w:t>Min Precip. (mm)</w:t>
            </w:r>
          </w:p>
        </w:tc>
      </w:tr>
      <w:tr w:rsidR="00860C05" w:rsidRPr="00CA597F" w14:paraId="56B2E3C9" w14:textId="77777777" w:rsidTr="00CA597F">
        <w:tc>
          <w:tcPr>
            <w:tcW w:w="2245" w:type="dxa"/>
          </w:tcPr>
          <w:p w14:paraId="4E0F6877" w14:textId="77777777" w:rsidR="00860C05" w:rsidRPr="00CA597F" w:rsidRDefault="00860C05">
            <w:pPr>
              <w:rPr>
                <w:rFonts w:ascii="Arial Narrow" w:hAnsi="Arial Narrow"/>
              </w:rPr>
            </w:pPr>
            <w:r w:rsidRPr="00CA597F">
              <w:rPr>
                <w:rFonts w:ascii="Arial Narrow" w:hAnsi="Arial Narrow"/>
              </w:rPr>
              <w:t>Feb 2016 – Oct 2016</w:t>
            </w:r>
          </w:p>
        </w:tc>
        <w:tc>
          <w:tcPr>
            <w:tcW w:w="1555" w:type="dxa"/>
          </w:tcPr>
          <w:p w14:paraId="40278801" w14:textId="77777777" w:rsidR="00860C05" w:rsidRPr="00CA597F" w:rsidRDefault="00860C05">
            <w:pPr>
              <w:rPr>
                <w:rFonts w:ascii="Arial Narrow" w:hAnsi="Arial Narrow"/>
              </w:rPr>
            </w:pPr>
            <w:r w:rsidRPr="00CA597F">
              <w:rPr>
                <w:rFonts w:ascii="Arial Narrow" w:hAnsi="Arial Narrow"/>
              </w:rPr>
              <w:t>9</w:t>
            </w:r>
          </w:p>
        </w:tc>
        <w:tc>
          <w:tcPr>
            <w:tcW w:w="1800" w:type="dxa"/>
          </w:tcPr>
          <w:p w14:paraId="479961FC" w14:textId="77777777" w:rsidR="00860C05" w:rsidRPr="00CA597F" w:rsidRDefault="00860C05">
            <w:pPr>
              <w:rPr>
                <w:rFonts w:ascii="Arial Narrow" w:hAnsi="Arial Narrow"/>
              </w:rPr>
            </w:pPr>
            <w:r w:rsidRPr="00CA597F">
              <w:rPr>
                <w:rFonts w:ascii="Arial Narrow" w:hAnsi="Arial Narrow"/>
              </w:rPr>
              <w:t>7</w:t>
            </w:r>
          </w:p>
        </w:tc>
        <w:tc>
          <w:tcPr>
            <w:tcW w:w="1800" w:type="dxa"/>
          </w:tcPr>
          <w:p w14:paraId="6250CF4B" w14:textId="77777777" w:rsidR="00860C05" w:rsidRPr="00CA597F" w:rsidRDefault="00860C05">
            <w:pPr>
              <w:rPr>
                <w:rFonts w:ascii="Arial Narrow" w:hAnsi="Arial Narrow"/>
              </w:rPr>
            </w:pPr>
            <w:r w:rsidRPr="00CA597F">
              <w:rPr>
                <w:rFonts w:ascii="Arial Narrow" w:hAnsi="Arial Narrow"/>
              </w:rPr>
              <w:t>2</w:t>
            </w:r>
          </w:p>
        </w:tc>
        <w:tc>
          <w:tcPr>
            <w:tcW w:w="1960" w:type="dxa"/>
          </w:tcPr>
          <w:p w14:paraId="512D6CC7" w14:textId="77777777" w:rsidR="00860C05" w:rsidRPr="00CA597F" w:rsidRDefault="00860C05">
            <w:pPr>
              <w:rPr>
                <w:rFonts w:ascii="Arial Narrow" w:hAnsi="Arial Narrow"/>
              </w:rPr>
            </w:pPr>
            <w:r w:rsidRPr="00CA597F">
              <w:rPr>
                <w:rFonts w:ascii="Arial Narrow" w:hAnsi="Arial Narrow"/>
              </w:rPr>
              <w:t>23.0</w:t>
            </w:r>
          </w:p>
        </w:tc>
      </w:tr>
      <w:tr w:rsidR="00860C05" w:rsidRPr="00CA597F" w14:paraId="4EE0AA7A" w14:textId="77777777" w:rsidTr="00CA597F">
        <w:tc>
          <w:tcPr>
            <w:tcW w:w="2245" w:type="dxa"/>
          </w:tcPr>
          <w:p w14:paraId="27D97987" w14:textId="77777777" w:rsidR="00860C05" w:rsidRPr="00CA597F" w:rsidRDefault="00860C05">
            <w:pPr>
              <w:rPr>
                <w:rFonts w:ascii="Arial Narrow" w:hAnsi="Arial Narrow"/>
              </w:rPr>
            </w:pPr>
            <w:r w:rsidRPr="00CA597F">
              <w:rPr>
                <w:rFonts w:ascii="Arial Narrow" w:hAnsi="Arial Narrow"/>
              </w:rPr>
              <w:t>Feb 2010 – May 2010</w:t>
            </w:r>
          </w:p>
        </w:tc>
        <w:tc>
          <w:tcPr>
            <w:tcW w:w="1555" w:type="dxa"/>
          </w:tcPr>
          <w:p w14:paraId="5D17EBE9" w14:textId="77777777" w:rsidR="00860C05" w:rsidRPr="00CA597F" w:rsidRDefault="00860C05">
            <w:pPr>
              <w:rPr>
                <w:rFonts w:ascii="Arial Narrow" w:hAnsi="Arial Narrow"/>
              </w:rPr>
            </w:pPr>
            <w:r w:rsidRPr="00CA597F">
              <w:rPr>
                <w:rFonts w:ascii="Arial Narrow" w:hAnsi="Arial Narrow"/>
              </w:rPr>
              <w:t>4</w:t>
            </w:r>
          </w:p>
        </w:tc>
        <w:tc>
          <w:tcPr>
            <w:tcW w:w="1800" w:type="dxa"/>
          </w:tcPr>
          <w:p w14:paraId="79C22880" w14:textId="77777777" w:rsidR="00860C05" w:rsidRPr="00CA597F" w:rsidRDefault="00860C05">
            <w:pPr>
              <w:rPr>
                <w:rFonts w:ascii="Arial Narrow" w:hAnsi="Arial Narrow"/>
              </w:rPr>
            </w:pPr>
            <w:r w:rsidRPr="00CA597F">
              <w:rPr>
                <w:rFonts w:ascii="Arial Narrow" w:hAnsi="Arial Narrow"/>
              </w:rPr>
              <w:t>3</w:t>
            </w:r>
          </w:p>
        </w:tc>
        <w:tc>
          <w:tcPr>
            <w:tcW w:w="1800" w:type="dxa"/>
          </w:tcPr>
          <w:p w14:paraId="2898B50E" w14:textId="77777777" w:rsidR="00860C05" w:rsidRPr="00CA597F" w:rsidRDefault="00860C05">
            <w:pPr>
              <w:rPr>
                <w:rFonts w:ascii="Arial Narrow" w:hAnsi="Arial Narrow"/>
              </w:rPr>
            </w:pPr>
            <w:r w:rsidRPr="00CA597F">
              <w:rPr>
                <w:rFonts w:ascii="Arial Narrow" w:hAnsi="Arial Narrow"/>
              </w:rPr>
              <w:t>1</w:t>
            </w:r>
          </w:p>
        </w:tc>
        <w:tc>
          <w:tcPr>
            <w:tcW w:w="1960" w:type="dxa"/>
          </w:tcPr>
          <w:p w14:paraId="0566ABFD" w14:textId="77777777" w:rsidR="00860C05" w:rsidRPr="00CA597F" w:rsidRDefault="00860C05">
            <w:pPr>
              <w:rPr>
                <w:rFonts w:ascii="Arial Narrow" w:hAnsi="Arial Narrow"/>
              </w:rPr>
            </w:pPr>
            <w:r w:rsidRPr="00CA597F">
              <w:rPr>
                <w:rFonts w:ascii="Arial Narrow" w:hAnsi="Arial Narrow"/>
              </w:rPr>
              <w:t>14.0</w:t>
            </w:r>
          </w:p>
        </w:tc>
      </w:tr>
      <w:tr w:rsidR="00860C05" w:rsidRPr="00CA597F" w14:paraId="53E578FF" w14:textId="77777777" w:rsidTr="00CA597F">
        <w:tc>
          <w:tcPr>
            <w:tcW w:w="2245" w:type="dxa"/>
          </w:tcPr>
          <w:p w14:paraId="1BF8F28C" w14:textId="77777777" w:rsidR="00860C05" w:rsidRPr="00CA597F" w:rsidRDefault="00860C05">
            <w:pPr>
              <w:rPr>
                <w:rFonts w:ascii="Arial Narrow" w:hAnsi="Arial Narrow"/>
              </w:rPr>
            </w:pPr>
            <w:r w:rsidRPr="00CA597F">
              <w:rPr>
                <w:rFonts w:ascii="Arial Narrow" w:hAnsi="Arial Narrow"/>
              </w:rPr>
              <w:t>Apr 2013 – Sep 2013</w:t>
            </w:r>
          </w:p>
        </w:tc>
        <w:tc>
          <w:tcPr>
            <w:tcW w:w="1555" w:type="dxa"/>
          </w:tcPr>
          <w:p w14:paraId="387DB1BD" w14:textId="77777777" w:rsidR="00860C05" w:rsidRPr="00CA597F" w:rsidRDefault="00860C05">
            <w:pPr>
              <w:rPr>
                <w:rFonts w:ascii="Arial Narrow" w:hAnsi="Arial Narrow"/>
              </w:rPr>
            </w:pPr>
            <w:r w:rsidRPr="00CA597F">
              <w:rPr>
                <w:rFonts w:ascii="Arial Narrow" w:hAnsi="Arial Narrow"/>
              </w:rPr>
              <w:t>6</w:t>
            </w:r>
          </w:p>
        </w:tc>
        <w:tc>
          <w:tcPr>
            <w:tcW w:w="1800" w:type="dxa"/>
          </w:tcPr>
          <w:p w14:paraId="49186113" w14:textId="77777777" w:rsidR="00860C05" w:rsidRPr="00CA597F" w:rsidRDefault="00860C05">
            <w:pPr>
              <w:rPr>
                <w:rFonts w:ascii="Arial Narrow" w:hAnsi="Arial Narrow"/>
              </w:rPr>
            </w:pPr>
            <w:r w:rsidRPr="00CA597F">
              <w:rPr>
                <w:rFonts w:ascii="Arial Narrow" w:hAnsi="Arial Narrow"/>
              </w:rPr>
              <w:t>2</w:t>
            </w:r>
          </w:p>
        </w:tc>
        <w:tc>
          <w:tcPr>
            <w:tcW w:w="1800" w:type="dxa"/>
          </w:tcPr>
          <w:p w14:paraId="4750DF55" w14:textId="77777777" w:rsidR="00860C05" w:rsidRPr="00CA597F" w:rsidRDefault="00860C05">
            <w:pPr>
              <w:rPr>
                <w:rFonts w:ascii="Arial Narrow" w:hAnsi="Arial Narrow"/>
              </w:rPr>
            </w:pPr>
            <w:r w:rsidRPr="00CA597F">
              <w:rPr>
                <w:rFonts w:ascii="Arial Narrow" w:hAnsi="Arial Narrow"/>
              </w:rPr>
              <w:t>0</w:t>
            </w:r>
          </w:p>
        </w:tc>
        <w:tc>
          <w:tcPr>
            <w:tcW w:w="1960" w:type="dxa"/>
          </w:tcPr>
          <w:p w14:paraId="04949A06" w14:textId="77777777" w:rsidR="00860C05" w:rsidRPr="00CA597F" w:rsidRDefault="00860C05">
            <w:pPr>
              <w:rPr>
                <w:rFonts w:ascii="Arial Narrow" w:hAnsi="Arial Narrow"/>
              </w:rPr>
            </w:pPr>
            <w:r w:rsidRPr="00CA597F">
              <w:rPr>
                <w:rFonts w:ascii="Arial Narrow" w:hAnsi="Arial Narrow"/>
              </w:rPr>
              <w:t>160.0</w:t>
            </w:r>
          </w:p>
        </w:tc>
      </w:tr>
      <w:tr w:rsidR="00860C05" w:rsidRPr="00CA597F" w14:paraId="15CF4532" w14:textId="77777777" w:rsidTr="00CA597F">
        <w:tc>
          <w:tcPr>
            <w:tcW w:w="2245" w:type="dxa"/>
          </w:tcPr>
          <w:p w14:paraId="255FBDE8" w14:textId="77777777" w:rsidR="00860C05" w:rsidRPr="00CA597F" w:rsidRDefault="00860C05">
            <w:pPr>
              <w:rPr>
                <w:rFonts w:ascii="Arial Narrow" w:hAnsi="Arial Narrow"/>
              </w:rPr>
            </w:pPr>
            <w:r w:rsidRPr="00CA597F">
              <w:rPr>
                <w:rFonts w:ascii="Arial Narrow" w:hAnsi="Arial Narrow"/>
              </w:rPr>
              <w:t>Feb 2020 – Apr 2020</w:t>
            </w:r>
          </w:p>
        </w:tc>
        <w:tc>
          <w:tcPr>
            <w:tcW w:w="1555" w:type="dxa"/>
          </w:tcPr>
          <w:p w14:paraId="65053D01" w14:textId="77777777" w:rsidR="00860C05" w:rsidRPr="00CA597F" w:rsidRDefault="00860C05">
            <w:pPr>
              <w:rPr>
                <w:rFonts w:ascii="Arial Narrow" w:hAnsi="Arial Narrow"/>
              </w:rPr>
            </w:pPr>
            <w:r w:rsidRPr="00CA597F">
              <w:rPr>
                <w:rFonts w:ascii="Arial Narrow" w:hAnsi="Arial Narrow"/>
              </w:rPr>
              <w:t>3</w:t>
            </w:r>
          </w:p>
        </w:tc>
        <w:tc>
          <w:tcPr>
            <w:tcW w:w="1800" w:type="dxa"/>
          </w:tcPr>
          <w:p w14:paraId="15023365" w14:textId="77777777" w:rsidR="00860C05" w:rsidRPr="00CA597F" w:rsidRDefault="00860C05">
            <w:pPr>
              <w:rPr>
                <w:rFonts w:ascii="Arial Narrow" w:hAnsi="Arial Narrow"/>
              </w:rPr>
            </w:pPr>
            <w:r w:rsidRPr="00CA597F">
              <w:rPr>
                <w:rFonts w:ascii="Arial Narrow" w:hAnsi="Arial Narrow"/>
              </w:rPr>
              <w:t>3</w:t>
            </w:r>
          </w:p>
        </w:tc>
        <w:tc>
          <w:tcPr>
            <w:tcW w:w="1800" w:type="dxa"/>
          </w:tcPr>
          <w:p w14:paraId="107A6FFA" w14:textId="77777777" w:rsidR="00860C05" w:rsidRPr="00CA597F" w:rsidRDefault="00860C05">
            <w:pPr>
              <w:rPr>
                <w:rFonts w:ascii="Arial Narrow" w:hAnsi="Arial Narrow"/>
              </w:rPr>
            </w:pPr>
            <w:r w:rsidRPr="00CA597F">
              <w:rPr>
                <w:rFonts w:ascii="Arial Narrow" w:hAnsi="Arial Narrow"/>
              </w:rPr>
              <w:t>3</w:t>
            </w:r>
          </w:p>
        </w:tc>
        <w:tc>
          <w:tcPr>
            <w:tcW w:w="1960" w:type="dxa"/>
          </w:tcPr>
          <w:p w14:paraId="44268BD5" w14:textId="77777777" w:rsidR="00860C05" w:rsidRPr="00CA597F" w:rsidRDefault="00860C05">
            <w:pPr>
              <w:rPr>
                <w:rFonts w:ascii="Arial Narrow" w:hAnsi="Arial Narrow"/>
              </w:rPr>
            </w:pPr>
            <w:r w:rsidRPr="00CA597F">
              <w:rPr>
                <w:rFonts w:ascii="Arial Narrow" w:hAnsi="Arial Narrow"/>
              </w:rPr>
              <w:t>60.0</w:t>
            </w:r>
          </w:p>
        </w:tc>
      </w:tr>
      <w:tr w:rsidR="00860C05" w:rsidRPr="00CA597F" w14:paraId="05A3F3BA" w14:textId="77777777" w:rsidTr="00CA597F">
        <w:tc>
          <w:tcPr>
            <w:tcW w:w="2245" w:type="dxa"/>
          </w:tcPr>
          <w:p w14:paraId="4B9E4855" w14:textId="77777777" w:rsidR="00860C05" w:rsidRPr="00CA597F" w:rsidRDefault="00860C05">
            <w:pPr>
              <w:rPr>
                <w:rFonts w:ascii="Arial Narrow" w:hAnsi="Arial Narrow"/>
              </w:rPr>
            </w:pPr>
            <w:r w:rsidRPr="00CA597F">
              <w:rPr>
                <w:rFonts w:ascii="Arial Narrow" w:hAnsi="Arial Narrow"/>
              </w:rPr>
              <w:t>Dec 2008 – Mar 2009</w:t>
            </w:r>
          </w:p>
        </w:tc>
        <w:tc>
          <w:tcPr>
            <w:tcW w:w="1555" w:type="dxa"/>
          </w:tcPr>
          <w:p w14:paraId="1249D56D" w14:textId="77777777" w:rsidR="00860C05" w:rsidRPr="00CA597F" w:rsidRDefault="00860C05">
            <w:pPr>
              <w:rPr>
                <w:rFonts w:ascii="Arial Narrow" w:hAnsi="Arial Narrow"/>
              </w:rPr>
            </w:pPr>
            <w:r w:rsidRPr="00CA597F">
              <w:rPr>
                <w:rFonts w:ascii="Arial Narrow" w:hAnsi="Arial Narrow"/>
              </w:rPr>
              <w:t>4</w:t>
            </w:r>
          </w:p>
        </w:tc>
        <w:tc>
          <w:tcPr>
            <w:tcW w:w="1800" w:type="dxa"/>
          </w:tcPr>
          <w:p w14:paraId="358D6355" w14:textId="77777777" w:rsidR="00860C05" w:rsidRPr="00CA597F" w:rsidRDefault="00860C05">
            <w:pPr>
              <w:rPr>
                <w:rFonts w:ascii="Arial Narrow" w:hAnsi="Arial Narrow"/>
              </w:rPr>
            </w:pPr>
            <w:r w:rsidRPr="00CA597F">
              <w:rPr>
                <w:rFonts w:ascii="Arial Narrow" w:hAnsi="Arial Narrow"/>
              </w:rPr>
              <w:t>2</w:t>
            </w:r>
          </w:p>
        </w:tc>
        <w:tc>
          <w:tcPr>
            <w:tcW w:w="1800" w:type="dxa"/>
          </w:tcPr>
          <w:p w14:paraId="0C287838" w14:textId="77777777" w:rsidR="00860C05" w:rsidRPr="00CA597F" w:rsidRDefault="00860C05">
            <w:pPr>
              <w:rPr>
                <w:rFonts w:ascii="Arial Narrow" w:hAnsi="Arial Narrow"/>
              </w:rPr>
            </w:pPr>
            <w:r w:rsidRPr="00CA597F">
              <w:rPr>
                <w:rFonts w:ascii="Arial Narrow" w:hAnsi="Arial Narrow"/>
              </w:rPr>
              <w:t>1</w:t>
            </w:r>
          </w:p>
        </w:tc>
        <w:tc>
          <w:tcPr>
            <w:tcW w:w="1960" w:type="dxa"/>
          </w:tcPr>
          <w:p w14:paraId="0798A2A3" w14:textId="77777777" w:rsidR="00860C05" w:rsidRPr="00CA597F" w:rsidRDefault="00860C05">
            <w:pPr>
              <w:rPr>
                <w:rFonts w:ascii="Arial Narrow" w:hAnsi="Arial Narrow"/>
              </w:rPr>
            </w:pPr>
            <w:r w:rsidRPr="00CA597F">
              <w:rPr>
                <w:rFonts w:ascii="Arial Narrow" w:hAnsi="Arial Narrow"/>
              </w:rPr>
              <w:t>75.0</w:t>
            </w:r>
          </w:p>
        </w:tc>
      </w:tr>
      <w:tr w:rsidR="00860C05" w:rsidRPr="00CA597F" w14:paraId="07F1852C" w14:textId="77777777" w:rsidTr="00CA597F">
        <w:tc>
          <w:tcPr>
            <w:tcW w:w="2245" w:type="dxa"/>
          </w:tcPr>
          <w:p w14:paraId="7DC9D5FF" w14:textId="77777777" w:rsidR="00860C05" w:rsidRPr="00CA597F" w:rsidRDefault="00860C05">
            <w:pPr>
              <w:rPr>
                <w:rFonts w:ascii="Arial Narrow" w:hAnsi="Arial Narrow"/>
              </w:rPr>
            </w:pPr>
            <w:r w:rsidRPr="00CA597F">
              <w:rPr>
                <w:rFonts w:ascii="Arial Narrow" w:hAnsi="Arial Narrow"/>
              </w:rPr>
              <w:t>Oct 2015 – Dec 2015</w:t>
            </w:r>
          </w:p>
        </w:tc>
        <w:tc>
          <w:tcPr>
            <w:tcW w:w="1555" w:type="dxa"/>
          </w:tcPr>
          <w:p w14:paraId="43239704" w14:textId="77777777" w:rsidR="00860C05" w:rsidRPr="00CA597F" w:rsidRDefault="00860C05">
            <w:pPr>
              <w:rPr>
                <w:rFonts w:ascii="Arial Narrow" w:hAnsi="Arial Narrow"/>
              </w:rPr>
            </w:pPr>
            <w:r w:rsidRPr="00CA597F">
              <w:rPr>
                <w:rFonts w:ascii="Arial Narrow" w:hAnsi="Arial Narrow"/>
              </w:rPr>
              <w:t>3</w:t>
            </w:r>
          </w:p>
        </w:tc>
        <w:tc>
          <w:tcPr>
            <w:tcW w:w="1800" w:type="dxa"/>
          </w:tcPr>
          <w:p w14:paraId="47654633" w14:textId="77777777" w:rsidR="00860C05" w:rsidRPr="00CA597F" w:rsidRDefault="00860C05">
            <w:pPr>
              <w:rPr>
                <w:rFonts w:ascii="Arial Narrow" w:hAnsi="Arial Narrow"/>
              </w:rPr>
            </w:pPr>
            <w:r w:rsidRPr="00CA597F">
              <w:rPr>
                <w:rFonts w:ascii="Arial Narrow" w:hAnsi="Arial Narrow"/>
              </w:rPr>
              <w:t>3</w:t>
            </w:r>
          </w:p>
        </w:tc>
        <w:tc>
          <w:tcPr>
            <w:tcW w:w="1800" w:type="dxa"/>
          </w:tcPr>
          <w:p w14:paraId="1342F2E3" w14:textId="77777777" w:rsidR="00860C05" w:rsidRPr="00CA597F" w:rsidRDefault="00860C05">
            <w:pPr>
              <w:rPr>
                <w:rFonts w:ascii="Arial Narrow" w:hAnsi="Arial Narrow"/>
              </w:rPr>
            </w:pPr>
            <w:r w:rsidRPr="00CA597F">
              <w:rPr>
                <w:rFonts w:ascii="Arial Narrow" w:hAnsi="Arial Narrow"/>
              </w:rPr>
              <w:t>0</w:t>
            </w:r>
          </w:p>
        </w:tc>
        <w:tc>
          <w:tcPr>
            <w:tcW w:w="1960" w:type="dxa"/>
          </w:tcPr>
          <w:p w14:paraId="0A6CB893" w14:textId="77777777" w:rsidR="00860C05" w:rsidRPr="00CA597F" w:rsidRDefault="00860C05" w:rsidP="00860C05">
            <w:pPr>
              <w:keepNext/>
              <w:rPr>
                <w:rFonts w:ascii="Arial Narrow" w:hAnsi="Arial Narrow"/>
              </w:rPr>
            </w:pPr>
            <w:r w:rsidRPr="00CA597F">
              <w:rPr>
                <w:rFonts w:ascii="Arial Narrow" w:hAnsi="Arial Narrow"/>
              </w:rPr>
              <w:t>107.0</w:t>
            </w:r>
          </w:p>
        </w:tc>
      </w:tr>
    </w:tbl>
    <w:p w14:paraId="657C59DD" w14:textId="5B42B1C1" w:rsidR="00860C05" w:rsidRDefault="00860C05">
      <w:pPr>
        <w:pStyle w:val="Caption"/>
      </w:pPr>
    </w:p>
    <w:p w14:paraId="127A4A8C" w14:textId="77777777" w:rsidR="00860C05" w:rsidRDefault="00860C05" w:rsidP="00860C05">
      <w:r>
        <w:br w:type="page"/>
      </w:r>
    </w:p>
    <w:p w14:paraId="1F285F17" w14:textId="4DE544AC" w:rsidR="00D92AEE" w:rsidRPr="00061E96" w:rsidRDefault="00D92AEE" w:rsidP="00D92AEE">
      <w:pPr>
        <w:pStyle w:val="Head3"/>
      </w:pPr>
      <w:bookmarkStart w:id="160" w:name="_Toc228288456"/>
      <w:r w:rsidRPr="00061E96">
        <w:t>Seismicity</w:t>
      </w:r>
      <w:bookmarkEnd w:id="160"/>
    </w:p>
    <w:p w14:paraId="1C997782" w14:textId="008B99C3" w:rsidR="00F97E16" w:rsidRDefault="005E56A3" w:rsidP="00AB4E2C">
      <w:pPr>
        <w:pStyle w:val="BodyText"/>
      </w:pPr>
      <w:r w:rsidRPr="005E56A3">
        <w:t>The City of Weno sits within the protected confines of Chuuk Lagoon, well inland of the nearest active plate</w:t>
      </w:r>
      <w:r w:rsidRPr="005E56A3">
        <w:rPr>
          <w:rFonts w:ascii="Cambria Math" w:hAnsi="Cambria Math" w:cs="Cambria Math"/>
        </w:rPr>
        <w:t>‑</w:t>
      </w:r>
      <w:r w:rsidRPr="005E56A3">
        <w:t>boundary faults and oceanic trenches. The lagoon</w:t>
      </w:r>
      <w:r w:rsidRPr="005E56A3">
        <w:rPr>
          <w:rFonts w:ascii="Arial Narrow" w:hAnsi="Arial Narrow" w:cs="Arial Narrow"/>
        </w:rPr>
        <w:t>’</w:t>
      </w:r>
      <w:r w:rsidRPr="005E56A3">
        <w:t>s islands are located on interior oceanic lithosphere far from the principal circum</w:t>
      </w:r>
      <w:r w:rsidRPr="005E56A3">
        <w:rPr>
          <w:rFonts w:ascii="Cambria Math" w:hAnsi="Cambria Math" w:cs="Cambria Math"/>
        </w:rPr>
        <w:t>‑</w:t>
      </w:r>
      <w:r w:rsidRPr="005E56A3">
        <w:t>Pacific subduction systems; the closest plate</w:t>
      </w:r>
      <w:r w:rsidRPr="005E56A3">
        <w:rPr>
          <w:rFonts w:ascii="Cambria Math" w:hAnsi="Cambria Math" w:cs="Cambria Math"/>
        </w:rPr>
        <w:t>‑</w:t>
      </w:r>
      <w:r w:rsidRPr="005E56A3">
        <w:t>boundary features lie to the west and northwest along the Yap</w:t>
      </w:r>
      <w:r w:rsidRPr="005E56A3">
        <w:rPr>
          <w:rFonts w:ascii="Arial Narrow" w:hAnsi="Arial Narrow" w:cs="Arial Narrow"/>
        </w:rPr>
        <w:t>–</w:t>
      </w:r>
      <w:r w:rsidRPr="005E56A3">
        <w:t>Palau</w:t>
      </w:r>
      <w:r w:rsidRPr="005E56A3">
        <w:rPr>
          <w:rFonts w:ascii="Arial Narrow" w:hAnsi="Arial Narrow" w:cs="Arial Narrow"/>
        </w:rPr>
        <w:t>–</w:t>
      </w:r>
      <w:r w:rsidRPr="005E56A3">
        <w:t>Mariana trench</w:t>
      </w:r>
      <w:r w:rsidRPr="005E56A3">
        <w:rPr>
          <w:rFonts w:ascii="Arial Narrow" w:hAnsi="Arial Narrow" w:cs="Arial Narrow"/>
        </w:rPr>
        <w:t>–</w:t>
      </w:r>
      <w:r w:rsidRPr="005E56A3">
        <w:t>arc system (hundreds of kilometers from Weno), where the Pacific Plate interacts with the Philippine Sea Plate and the Australian Plate. As a result, local seismic hazard at Weno is generally low, and there are no mapped active faults or documented sequences of damaging, locally generated earthquakes within the lagoon itself</w:t>
      </w:r>
      <w:r w:rsidR="00EE58C2">
        <w:t xml:space="preserve"> (</w:t>
      </w:r>
      <w:r w:rsidR="007C0304">
        <w:t>Rong and others, 2012</w:t>
      </w:r>
      <w:r w:rsidR="00EE58C2">
        <w:t>)</w:t>
      </w:r>
      <w:r w:rsidRPr="005E56A3">
        <w:t>. Regional seismicity associated with the Yap and Mariana systems does occur and can occasionally be detected in Chuuk</w:t>
      </w:r>
      <w:r w:rsidR="001A08C2">
        <w:t xml:space="preserve">, </w:t>
      </w:r>
      <w:r w:rsidRPr="005E56A3">
        <w:t>typically as weak or moderate shaking from events located hundreds of kilometers offshore</w:t>
      </w:r>
      <w:r w:rsidR="00A41341">
        <w:t>. One</w:t>
      </w:r>
      <w:r w:rsidRPr="005E56A3">
        <w:t xml:space="preserve"> example</w:t>
      </w:r>
      <w:r w:rsidR="00A41341">
        <w:t xml:space="preserve"> is</w:t>
      </w:r>
      <w:r w:rsidRPr="005E56A3">
        <w:t xml:space="preserve"> a M</w:t>
      </w:r>
      <w:r w:rsidRPr="005E56A3">
        <w:rPr>
          <w:rFonts w:ascii="Arial" w:hAnsi="Arial" w:cs="Arial"/>
        </w:rPr>
        <w:t> </w:t>
      </w:r>
      <w:r w:rsidRPr="005E56A3">
        <w:t>4.9 earthquake on May</w:t>
      </w:r>
      <w:r w:rsidRPr="005E56A3">
        <w:rPr>
          <w:rFonts w:ascii="Arial" w:hAnsi="Arial" w:cs="Arial"/>
        </w:rPr>
        <w:t> </w:t>
      </w:r>
      <w:r w:rsidRPr="005E56A3">
        <w:t>24,</w:t>
      </w:r>
      <w:r w:rsidRPr="005E56A3">
        <w:rPr>
          <w:rFonts w:ascii="Arial" w:hAnsi="Arial" w:cs="Arial"/>
        </w:rPr>
        <w:t> </w:t>
      </w:r>
      <w:proofErr w:type="gramStart"/>
      <w:r w:rsidRPr="005E56A3">
        <w:t>2025</w:t>
      </w:r>
      <w:proofErr w:type="gramEnd"/>
      <w:r w:rsidRPr="005E56A3">
        <w:t xml:space="preserve"> west of Chuuk that was located ~430</w:t>
      </w:r>
      <w:r w:rsidRPr="005E56A3">
        <w:rPr>
          <w:rFonts w:ascii="Arial" w:hAnsi="Arial" w:cs="Arial"/>
        </w:rPr>
        <w:t> </w:t>
      </w:r>
      <w:r w:rsidRPr="005E56A3">
        <w:t>km from Weno. Deep and intermediate</w:t>
      </w:r>
      <w:r w:rsidRPr="005E56A3">
        <w:rPr>
          <w:rFonts w:ascii="Cambria Math" w:hAnsi="Cambria Math" w:cs="Cambria Math"/>
        </w:rPr>
        <w:t>‑</w:t>
      </w:r>
      <w:r w:rsidRPr="005E56A3">
        <w:t>depth earthquakes are common along the broader western Pacific subduction zones, but over these distances, wave attenuation and oceanic path effects typically limit felt intensity on Chuuk</w:t>
      </w:r>
      <w:r w:rsidRPr="005E56A3">
        <w:rPr>
          <w:rFonts w:ascii="Arial Narrow" w:hAnsi="Arial Narrow" w:cs="Arial Narrow"/>
        </w:rPr>
        <w:t>’</w:t>
      </w:r>
      <w:r w:rsidRPr="005E56A3">
        <w:t>s islands. Consequently, perceptible shaking in Weno is infrequent, and damaging ground motions are uncommon; nonetheless, routine awareness and preparedness are appropriate given the region</w:t>
      </w:r>
      <w:r w:rsidRPr="005E56A3">
        <w:rPr>
          <w:rFonts w:ascii="Arial Narrow" w:hAnsi="Arial Narrow" w:cs="Arial Narrow"/>
        </w:rPr>
        <w:t>’</w:t>
      </w:r>
      <w:r w:rsidRPr="005E56A3">
        <w:t>s proximity to active subduction systems and the wider Ring of Fire context.</w:t>
      </w:r>
    </w:p>
    <w:p w14:paraId="6F983735" w14:textId="30440EA0" w:rsidR="00772210" w:rsidRDefault="00772210" w:rsidP="009F6FA2">
      <w:pPr>
        <w:pStyle w:val="Head1"/>
      </w:pPr>
      <w:bookmarkStart w:id="161" w:name="_Toc228288457"/>
      <w:r w:rsidRPr="006D5C16">
        <w:t>Discussion</w:t>
      </w:r>
      <w:bookmarkEnd w:id="161"/>
    </w:p>
    <w:p w14:paraId="584855B1" w14:textId="6DC446F1" w:rsidR="00192554" w:rsidRPr="00D129CC" w:rsidRDefault="00192554" w:rsidP="00D129CC">
      <w:pPr>
        <w:pStyle w:val="BodyText"/>
        <w:rPr>
          <w:rFonts w:eastAsiaTheme="minorEastAsia"/>
        </w:rPr>
      </w:pPr>
      <w:r>
        <w:t xml:space="preserve">The water balance across the four study sites in the </w:t>
      </w:r>
      <w:r w:rsidR="0096743C">
        <w:t xml:space="preserve">FSM </w:t>
      </w:r>
      <w:r>
        <w:t>is generally positive, meaning that annual precipitation consistently exceeds evapotranspiration. This favorable balance is crucial for sustaining freshwater supplies on the islands and atolls. However, the region's monsoon climate results in considerable variability in precipitation delivery throughout the year, making the islands vulnerable to water shortages during episodic droughts.</w:t>
      </w:r>
      <w:r w:rsidR="00D129CC">
        <w:rPr>
          <w:rFonts w:eastAsiaTheme="minorEastAsia"/>
        </w:rPr>
        <w:t xml:space="preserve"> </w:t>
      </w:r>
      <w:r>
        <w:t>Drought monitoring has revealed both the frequency and severity of such events. The 2015–2016 drought stands out as the most severe and widespread, affecting all four study sites. At Yap, for instance, seven consecutive months were classified as Drier or Dry at the 1-month timescale, with six months marked as PEAC-Red, indicating acute water stress. This event persisted across all sites, with multi-timescale Drier classifications propagating through the 3-month and 6-month windows, underscoring the susceptibility of each island to large-scale climate anomalies.</w:t>
      </w:r>
    </w:p>
    <w:p w14:paraId="6A0C5A2A" w14:textId="55C70526" w:rsidR="00192554" w:rsidRDefault="00192554" w:rsidP="00D129CC">
      <w:pPr>
        <w:pStyle w:val="BodyText"/>
      </w:pPr>
      <w:r>
        <w:t xml:space="preserve">The application of two drought indices—the PEAC 4/8-inch </w:t>
      </w:r>
      <w:r w:rsidR="00464A9B">
        <w:t xml:space="preserve">(10.2 cm/ 20.4 cm) </w:t>
      </w:r>
      <w:r>
        <w:t xml:space="preserve">index and a quintile-based Rainfall Index—offers complementary perspectives. The PEAC index exposes a pronounced east-west gradient in absolute water supply risk: for example, 18 percent of months at Yap fell below the 4-inch </w:t>
      </w:r>
      <w:r w:rsidR="00464A9B">
        <w:t xml:space="preserve">(10.2 cm) </w:t>
      </w:r>
      <w:r>
        <w:t>Red threshold, compared to only 1 percent at Kosrae. In contrast, the Rainfall Index shows that below-normal conditions occur with similar frequency at all sites (about 40 percent of months classified as Drier or Dry). This suggests that even the wettest locations are not immune to relative precipitation deficits that can affect ecosystems, groundwater recharge, and water infrastructure.</w:t>
      </w:r>
    </w:p>
    <w:p w14:paraId="76EBE88D" w14:textId="0449D7CF" w:rsidR="00192554" w:rsidRDefault="00192554" w:rsidP="00D129CC">
      <w:pPr>
        <w:pStyle w:val="BodyText"/>
      </w:pPr>
      <w:r>
        <w:t>Employing a multi-timescale approach proved effective in distinguishing transient precipitation shortfalls from developing droughts. The 6-month monitoring window identified extended events like Kosrae’s eight-month drought in 2010–2011 and Weno’s nine-month drought in 2016</w:t>
      </w:r>
      <w:r w:rsidR="00350D58">
        <w:t xml:space="preserve">, </w:t>
      </w:r>
      <w:r>
        <w:t>episodes that single-month analyses might overlook. This method allows for improved characterization of drought recurrence patterns and supports proactive water management and infrastructure planning.</w:t>
      </w:r>
    </w:p>
    <w:p w14:paraId="371573B4" w14:textId="7AEB7E46" w:rsidR="0046499D" w:rsidRDefault="0046499D" w:rsidP="0046499D">
      <w:pPr>
        <w:ind w:firstLine="720"/>
      </w:pPr>
      <w:r>
        <w:rPr>
          <w:rFonts w:eastAsia="Times New Roman" w:cs="Times New Roman"/>
        </w:rPr>
        <w:t xml:space="preserve">The </w:t>
      </w:r>
      <w:r w:rsidR="00455198">
        <w:rPr>
          <w:rFonts w:eastAsia="Times New Roman" w:cs="Times New Roman"/>
        </w:rPr>
        <w:t xml:space="preserve">7-day GFS precipitation </w:t>
      </w:r>
      <w:r>
        <w:rPr>
          <w:rFonts w:eastAsia="Times New Roman" w:cs="Times New Roman"/>
        </w:rPr>
        <w:t>forecasting system retrieves NOAA GFS forecast data at 0.25° resolution, extracts daily accumulated precipitation for each monitoring location, applies operational alert thresholds, and generates a standardized suite of output products including bar charts, spatial animations, summary tables, and a packaged distribution archive. The processing pipeline completes in approximately 30 minutes and is designed for automated, routine deployment.</w:t>
      </w:r>
    </w:p>
    <w:p w14:paraId="4D0498BB" w14:textId="77777777" w:rsidR="0046499D" w:rsidRDefault="0046499D" w:rsidP="0046499D">
      <w:pPr>
        <w:ind w:firstLine="720"/>
      </w:pPr>
      <w:r>
        <w:rPr>
          <w:rFonts w:eastAsia="Times New Roman" w:cs="Times New Roman"/>
        </w:rPr>
        <w:t>The March 10–16, 2026 demonstration forecast showed 7-day totals ranging from 43.2 mm at Pohnpei to 64.5 mm at Kosrae, with no daily or weekly alert thresholds exceeded. This moderate-to-low forecast is operationally relevant for drought-affected locations, as it signals to water managers that the near-term outlook does not include substantial rainfall relief.</w:t>
      </w:r>
    </w:p>
    <w:p w14:paraId="44641DB1" w14:textId="77777777" w:rsidR="0046499D" w:rsidRDefault="0046499D" w:rsidP="0046499D">
      <w:pPr>
        <w:ind w:firstLine="720"/>
      </w:pPr>
      <w:r>
        <w:rPr>
          <w:rFonts w:eastAsia="Times New Roman" w:cs="Times New Roman"/>
        </w:rPr>
        <w:t>The forecasting system fills a critical gap in water management across the FSM, where sparse ground-based weather station networks and limited access to numerical weather prediction products have historically left many communities without reliable short-term rainfall outlooks. When used in conjunction with the IMERG-based drought monitoring system, the combined backward-looking and forward-looking capabilities provide a comprehensive precipitation intelligence framework for Pacific Island water supply management.</w:t>
      </w:r>
    </w:p>
    <w:p w14:paraId="53456D9F" w14:textId="77777777" w:rsidR="00192554" w:rsidRDefault="00192554" w:rsidP="00D129CC">
      <w:pPr>
        <w:pStyle w:val="BodyText"/>
      </w:pPr>
      <w:r>
        <w:t>In summary, while the annual water balance at all four study sites is typically positive, the islands remain vulnerable to significant droughts due to the variability of monsoon-driven rainfall. Continued monitoring and the use of complementary drought indices are essential for safeguarding water resources and informing climate adaptation strategies across the region.</w:t>
      </w:r>
    </w:p>
    <w:p w14:paraId="3786DCE2" w14:textId="4B5AC548" w:rsidR="00CA402A" w:rsidRDefault="00CA402A" w:rsidP="009F6FA2">
      <w:pPr>
        <w:pStyle w:val="Head1"/>
      </w:pPr>
      <w:bookmarkStart w:id="162" w:name="_Toc228288458"/>
      <w:r>
        <w:t>Conclusion</w:t>
      </w:r>
      <w:bookmarkEnd w:id="162"/>
    </w:p>
    <w:p w14:paraId="52ED9D28" w14:textId="699824FE" w:rsidR="00CA402A" w:rsidRDefault="00CA402A" w:rsidP="00CA402A">
      <w:pPr>
        <w:pStyle w:val="BodyText"/>
      </w:pPr>
      <w:r>
        <w:t xml:space="preserve">The islands and atolls of the Federated States of Micronesia generally have a positive annual water balance as precipitation is typically greater than evapotranspiration. However, the monsoon climate results in precipitation being delivered to the islands varies greatly with time, and residents </w:t>
      </w:r>
      <w:r w:rsidR="00727FF0">
        <w:t xml:space="preserve">could </w:t>
      </w:r>
      <w:r>
        <w:t>face acute water shortages</w:t>
      </w:r>
      <w:r w:rsidR="00727FF0">
        <w:t xml:space="preserve"> during episodic regional drought events</w:t>
      </w:r>
      <w:r>
        <w:t xml:space="preserve">. </w:t>
      </w:r>
    </w:p>
    <w:p w14:paraId="56C0F887" w14:textId="21B31EF0" w:rsidR="00096574" w:rsidRDefault="00C42D5E" w:rsidP="00B64E01">
      <w:pPr>
        <w:ind w:firstLine="720"/>
      </w:pPr>
      <w:r>
        <w:t>Regard</w:t>
      </w:r>
      <w:r w:rsidR="000251E5">
        <w:t>ing drou</w:t>
      </w:r>
      <w:r w:rsidR="00C04D3C">
        <w:t>ght monitoring</w:t>
      </w:r>
      <w:r w:rsidR="00391769">
        <w:t>, t</w:t>
      </w:r>
      <w:r w:rsidR="00096574">
        <w:t>he 2015–2016 drought was the most severe and widespread event recorded during the 25-year monitoring period. At Yap, 7 consecutive months were classified as Drier or Dry at the 1-month timescale with 6 PEAC-Red months, while the event persisted at all four sites with multi-timescale Drier classifications propagating through the 3-month and 6-month windows. This region-wide event underscores the vulnerability of all FSM states to large-scale climate forcing.</w:t>
      </w:r>
    </w:p>
    <w:p w14:paraId="440B2850" w14:textId="33BC195D" w:rsidR="00096574" w:rsidRDefault="00096574" w:rsidP="00B64E01">
      <w:pPr>
        <w:ind w:firstLine="720"/>
        <w:jc w:val="both"/>
      </w:pPr>
      <w:r>
        <w:t xml:space="preserve">The two indices provide complementary perspectives on drought conditions. The PEAC 4/8-inch </w:t>
      </w:r>
      <w:r w:rsidR="00464A9B">
        <w:t xml:space="preserve">(10.2 cm/ 20.4 cm) </w:t>
      </w:r>
      <w:r>
        <w:t xml:space="preserve">index reveals a strong east-west gradient in absolute water supply risk: 18 percent of months at Yap fell below the 4-inch </w:t>
      </w:r>
      <w:r w:rsidR="00464A9B">
        <w:t xml:space="preserve">(10.2 cm) </w:t>
      </w:r>
      <w:r>
        <w:t>Red threshold compared to only 1 percent at Kosrae. However, the quintile-based Rainfall Index shows that all four sites experience below-normal conditions with comparable frequency (approximately 40 percent of months classified as Drier or Dry), indicating that even the wettest sites are not immune to relative precipitation deficits that may affect ecosystem health, groundwater recharge, and water infrastructure planning.</w:t>
      </w:r>
    </w:p>
    <w:p w14:paraId="7B1653A9" w14:textId="77777777" w:rsidR="00096574" w:rsidRDefault="00096574" w:rsidP="00B64E01">
      <w:pPr>
        <w:ind w:firstLine="720"/>
        <w:jc w:val="both"/>
      </w:pPr>
      <w:r>
        <w:t>The multi-timescale approach proved effective for distinguishing between transient precipitation deficits and developing sustained drought. The 6-month window identifies events such as Kosrae’s 8-month 2010–2011 drought and Weno’s 9-month 2016 drought that would not be apparent from single-month monitoring alone.</w:t>
      </w:r>
    </w:p>
    <w:p w14:paraId="229468FE" w14:textId="77777777" w:rsidR="00096574" w:rsidRDefault="00096574" w:rsidP="00B64E01">
      <w:pPr>
        <w:ind w:firstLine="720"/>
        <w:jc w:val="both"/>
      </w:pPr>
      <w:r>
        <w:t>Continued monitoring using this framework will extend the observational record and improve the characterization of drought recurrence patterns at each location. The results presented in this volume, together with the detailed methods in Volume 1, provide an operational foundation for satellite-based drought monitoring in the FSM that can support water supply management, infrastructure planning, and climate adaptation decision-making.</w:t>
      </w:r>
    </w:p>
    <w:p w14:paraId="7456D669" w14:textId="77777777" w:rsidR="00096574" w:rsidRDefault="00096574" w:rsidP="00CA402A">
      <w:pPr>
        <w:pStyle w:val="BodyText"/>
      </w:pPr>
    </w:p>
    <w:p w14:paraId="3A1FCCB1" w14:textId="5FADA62D" w:rsidR="00DA6B7A" w:rsidRPr="009F6FA2" w:rsidRDefault="00DA6B7A" w:rsidP="009F6FA2">
      <w:pPr>
        <w:pStyle w:val="Head1"/>
      </w:pPr>
      <w:bookmarkStart w:id="163" w:name="_Toc507583996"/>
      <w:bookmarkStart w:id="164" w:name="_Toc507584050"/>
      <w:bookmarkStart w:id="165" w:name="_Toc531073723"/>
      <w:bookmarkStart w:id="166" w:name="_Toc219446494"/>
      <w:bookmarkStart w:id="167" w:name="_Toc228288459"/>
      <w:r>
        <w:t>References</w:t>
      </w:r>
      <w:bookmarkEnd w:id="163"/>
      <w:bookmarkEnd w:id="164"/>
      <w:bookmarkEnd w:id="165"/>
      <w:bookmarkEnd w:id="166"/>
      <w:bookmarkEnd w:id="167"/>
    </w:p>
    <w:bookmarkEnd w:id="3"/>
    <w:bookmarkEnd w:id="4"/>
    <w:p w14:paraId="70A4D3F3" w14:textId="4A0B9950" w:rsidR="00141085" w:rsidRDefault="00141085" w:rsidP="00767525">
      <w:pPr>
        <w:pStyle w:val="Reference"/>
      </w:pPr>
      <w:r>
        <w:t xml:space="preserve">ADB, 1965, </w:t>
      </w:r>
      <w:r w:rsidRPr="007768DE">
        <w:t xml:space="preserve">Agreement establishing the Asian Development Bank signed at Manila, Dec. 4, 1965; entered into force Aug. 22, 1966, United Nations Treaty Series, vol. 608, p. 380. </w:t>
      </w:r>
      <w:r>
        <w:t xml:space="preserve">Available at: </w:t>
      </w:r>
      <w:hyperlink r:id="rId50" w:history="1">
        <w:r w:rsidRPr="00784DB2">
          <w:rPr>
            <w:rStyle w:val="Hyperlink"/>
          </w:rPr>
          <w:t>Agreement Establishing the Asian Development Bank (ADB Charter)</w:t>
        </w:r>
      </w:hyperlink>
      <w:r>
        <w:t>. Accessed 29 January 2026.</w:t>
      </w:r>
    </w:p>
    <w:p w14:paraId="33440D21" w14:textId="77777777" w:rsidR="00E61386" w:rsidRDefault="00E61386" w:rsidP="00767525">
      <w:pPr>
        <w:pStyle w:val="Reference"/>
        <w:rPr>
          <w:i/>
          <w:iCs/>
        </w:rPr>
      </w:pPr>
      <w:r w:rsidRPr="00772626">
        <w:t xml:space="preserve">Bailey, R.T., and Jenson, J.W., 2011, </w:t>
      </w:r>
      <w:r w:rsidRPr="00772626">
        <w:rPr>
          <w:i/>
          <w:iCs/>
        </w:rPr>
        <w:t xml:space="preserve">Groundwater resources analysis of atoll islands in the </w:t>
      </w:r>
      <w:r>
        <w:rPr>
          <w:i/>
          <w:iCs/>
        </w:rPr>
        <w:t xml:space="preserve"> </w:t>
      </w:r>
    </w:p>
    <w:p w14:paraId="54B88966" w14:textId="77777777" w:rsidR="00E61386" w:rsidRDefault="00E61386" w:rsidP="00767525">
      <w:pPr>
        <w:pStyle w:val="Reference"/>
      </w:pPr>
      <w:r>
        <w:rPr>
          <w:i/>
          <w:iCs/>
        </w:rPr>
        <w:t>F</w:t>
      </w:r>
      <w:r w:rsidRPr="00772626">
        <w:rPr>
          <w:i/>
          <w:iCs/>
        </w:rPr>
        <w:t>ederated States of Micronesia using an algebraic model</w:t>
      </w:r>
      <w:r w:rsidRPr="00772626">
        <w:t xml:space="preserve">: University of Guam, Water and Environmental Research Institute Technical Report 134, vii 73 p. </w:t>
      </w:r>
    </w:p>
    <w:p w14:paraId="78FC65EC" w14:textId="77777777" w:rsidR="00E61386" w:rsidRDefault="00E61386" w:rsidP="00767525">
      <w:pPr>
        <w:pStyle w:val="Reference"/>
      </w:pPr>
      <w:r w:rsidRPr="000C5131">
        <w:t>Climate</w:t>
      </w:r>
      <w:r w:rsidRPr="000C5131">
        <w:noBreakHyphen/>
        <w:t xml:space="preserve">Data.org, 2026, </w:t>
      </w:r>
      <w:r w:rsidRPr="000C5131">
        <w:rPr>
          <w:i/>
          <w:iCs/>
        </w:rPr>
        <w:t>Climate Chuuk (Federated States of Micronesia)</w:t>
      </w:r>
      <w:r w:rsidRPr="000C5131">
        <w:t>: Climate</w:t>
      </w:r>
      <w:r w:rsidRPr="000C5131">
        <w:noBreakHyphen/>
        <w:t xml:space="preserve">Data.org, accessed April 12, 2026, at </w:t>
      </w:r>
      <w:hyperlink r:id="rId51" w:history="1">
        <w:r w:rsidRPr="00D512CE">
          <w:rPr>
            <w:rStyle w:val="Hyperlink"/>
          </w:rPr>
          <w:t>https://en.climate-data.org/oceania/federated-states-of-micronesia/chuuk-2649/</w:t>
        </w:r>
      </w:hyperlink>
    </w:p>
    <w:p w14:paraId="63773B09" w14:textId="77777777" w:rsidR="00E61386" w:rsidRPr="00772626" w:rsidRDefault="00E61386" w:rsidP="00767525">
      <w:pPr>
        <w:pStyle w:val="Reference"/>
      </w:pPr>
    </w:p>
    <w:p w14:paraId="15726CE9" w14:textId="77777777" w:rsidR="00E61386" w:rsidRPr="00F0200C" w:rsidRDefault="00E61386" w:rsidP="00767525">
      <w:pPr>
        <w:pStyle w:val="Reference"/>
      </w:pPr>
      <w:r w:rsidRPr="00F0200C">
        <w:t>David Aranug, 2016, Climate variability and change of the Federated States of Micronesia: National Weather Service–Micronesia Operational Hydrologic Network presentation, accessed April 11, 2026, at http://www.globalislands.net/userfiles/FSM16.pdf</w:t>
      </w:r>
    </w:p>
    <w:p w14:paraId="32D5AB9E" w14:textId="3C3FB31F" w:rsidR="00E61386" w:rsidRDefault="00E61386" w:rsidP="00767525">
      <w:pPr>
        <w:pStyle w:val="Reference"/>
      </w:pPr>
      <w:r w:rsidRPr="00463E35">
        <w:t xml:space="preserve">DeJonge, K.C., Allen, R.G., Kilic, A., Thorp, K.R., Kukal, M., Marek, G., Altenhofen, J., Amatya, D.M., </w:t>
      </w:r>
      <w:proofErr w:type="spellStart"/>
      <w:r w:rsidRPr="00463E35">
        <w:t>Blankenau</w:t>
      </w:r>
      <w:proofErr w:type="spellEnd"/>
      <w:r w:rsidRPr="00463E35">
        <w:t xml:space="preserve">, P., Datta, S., Grabow, G., Hashem, A., </w:t>
      </w:r>
      <w:proofErr w:type="spellStart"/>
      <w:r w:rsidRPr="00463E35">
        <w:t>Kisekka</w:t>
      </w:r>
      <w:proofErr w:type="spellEnd"/>
      <w:r w:rsidRPr="00463E35">
        <w:t xml:space="preserve">, I., Kjaersgaard, J., Marek, T., Peters, T., Porter, D., Reba, M., Rudnick, D., Senay, G., Sharma, V., Sridhar, V., Sun, G., </w:t>
      </w:r>
      <w:proofErr w:type="spellStart"/>
      <w:r w:rsidRPr="00463E35">
        <w:t>Taghvaeian</w:t>
      </w:r>
      <w:proofErr w:type="spellEnd"/>
      <w:r w:rsidRPr="00463E35">
        <w:t xml:space="preserve">, S., Trezza, R., and Trout, T., 2025, </w:t>
      </w:r>
      <w:r w:rsidRPr="00463E35">
        <w:rPr>
          <w:i/>
          <w:iCs/>
        </w:rPr>
        <w:t>Evapotranspiration terminology and definitions</w:t>
      </w:r>
      <w:r w:rsidRPr="00463E35">
        <w:t xml:space="preserve">: U.S. Geological Survey Publication, accessed April 11, 2026, at </w:t>
      </w:r>
      <w:hyperlink r:id="rId52" w:history="1">
        <w:r w:rsidR="006709D9" w:rsidRPr="00B869ED">
          <w:rPr>
            <w:rStyle w:val="Hyperlink"/>
          </w:rPr>
          <w:t>https://www.usgs.gov/publications/evapotranspiration-terminology-and-definitions</w:t>
        </w:r>
      </w:hyperlink>
      <w:r w:rsidRPr="00463E35">
        <w:t>.</w:t>
      </w:r>
    </w:p>
    <w:p w14:paraId="7FBDAC62" w14:textId="77777777" w:rsidR="000F5DAF" w:rsidRPr="003613C6" w:rsidRDefault="000F5DAF" w:rsidP="00767525">
      <w:pPr>
        <w:pStyle w:val="Reference"/>
      </w:pPr>
      <w:r w:rsidRPr="003613C6">
        <w:t xml:space="preserve">Hatfield, J.L., and </w:t>
      </w:r>
      <w:proofErr w:type="spellStart"/>
      <w:r w:rsidRPr="003613C6">
        <w:t>Prueger</w:t>
      </w:r>
      <w:proofErr w:type="spellEnd"/>
      <w:r w:rsidRPr="003613C6">
        <w:t xml:space="preserve">, J.H., 2010, </w:t>
      </w:r>
      <w:r w:rsidRPr="003613C6">
        <w:rPr>
          <w:i/>
          <w:iCs/>
        </w:rPr>
        <w:t>Spatial and temporal variation in evapotranspiration</w:t>
      </w:r>
      <w:r w:rsidRPr="003613C6">
        <w:t xml:space="preserve">: </w:t>
      </w:r>
      <w:proofErr w:type="spellStart"/>
      <w:r w:rsidRPr="003613C6">
        <w:t>IntechOpen</w:t>
      </w:r>
      <w:proofErr w:type="spellEnd"/>
      <w:r w:rsidRPr="003613C6">
        <w:t>, 56 p., https://doi.org/10.5772/54221</w:t>
      </w:r>
    </w:p>
    <w:p w14:paraId="72201111" w14:textId="249728CA" w:rsidR="006709D9" w:rsidRDefault="006709D9" w:rsidP="00767525">
      <w:pPr>
        <w:pStyle w:val="Reference"/>
      </w:pPr>
      <w:proofErr w:type="spellStart"/>
      <w:r w:rsidRPr="008C74E5">
        <w:t>Hijmans</w:t>
      </w:r>
      <w:proofErr w:type="spellEnd"/>
      <w:r w:rsidRPr="008C74E5">
        <w:t xml:space="preserve">, R.J., 2024, terra—Spatial data analysis: Comprehensive R Archive Network (CRAN), R package, accessed 2024, at </w:t>
      </w:r>
      <w:hyperlink r:id="rId53" w:history="1">
        <w:r w:rsidR="000F5DAF" w:rsidRPr="00B869ED">
          <w:rPr>
            <w:rStyle w:val="Hyperlink"/>
          </w:rPr>
          <w:t>https://CRAN.R-project.org/package=terra</w:t>
        </w:r>
      </w:hyperlink>
      <w:r w:rsidRPr="008C74E5">
        <w:t>.</w:t>
      </w:r>
    </w:p>
    <w:p w14:paraId="37DA5014" w14:textId="77777777" w:rsidR="000F5DAF" w:rsidRDefault="000F5DAF" w:rsidP="00767525">
      <w:pPr>
        <w:pStyle w:val="Reference"/>
      </w:pPr>
      <w:r w:rsidRPr="00650225">
        <w:t>Huffman, G.J., E. F. Stocker, D. T. Bolvin, E. J. Nelkin, and J. Tan</w:t>
      </w:r>
      <w:r>
        <w:t xml:space="preserve">, </w:t>
      </w:r>
      <w:r w:rsidRPr="00650225">
        <w:t xml:space="preserve">2019, </w:t>
      </w:r>
      <w:r w:rsidRPr="00650225">
        <w:rPr>
          <w:i/>
          <w:iCs/>
        </w:rPr>
        <w:t>GPM IMERG Final Precipitation L3 1 Day 0.1°×0.1° V07</w:t>
      </w:r>
      <w:r w:rsidRPr="00650225">
        <w:t xml:space="preserve"> (GPM_3IMERGDF), Goddard Earth Sciences Data and Information Services Center (GES DISC), accessed April 10, 2026,</w:t>
      </w:r>
      <w:r>
        <w:t xml:space="preserve"> </w:t>
      </w:r>
      <w:hyperlink r:id="rId54" w:history="1">
        <w:r w:rsidRPr="00485571">
          <w:rPr>
            <w:rStyle w:val="Hyperlink"/>
          </w:rPr>
          <w:t>https://doi.org/10.5067/GPM/IMERGDF/DAY/07</w:t>
        </w:r>
      </w:hyperlink>
    </w:p>
    <w:p w14:paraId="533BAE83" w14:textId="77777777" w:rsidR="006709D9" w:rsidRPr="008C74E5" w:rsidRDefault="006709D9" w:rsidP="00767525">
      <w:pPr>
        <w:pStyle w:val="Reference"/>
      </w:pPr>
      <w:r w:rsidRPr="008C74E5">
        <w:t xml:space="preserve">Huffman, G.J., Bolvin, D.T., Braithwaite, D., Hsu, K.L., Joyce, R.J., Kidd, C., Nelkin, E.J., </w:t>
      </w:r>
      <w:proofErr w:type="spellStart"/>
      <w:r w:rsidRPr="008C74E5">
        <w:t>Sorooshian</w:t>
      </w:r>
      <w:proofErr w:type="spellEnd"/>
      <w:r w:rsidRPr="008C74E5">
        <w:t xml:space="preserve">, S., Stocker, E.F., Tan, J., Wolff, D.B., and Xie, P., 2020, Integrated Multi-satellite Retrievals for the Global Precipitation Measurement (GPM) Mission (IMERG), </w:t>
      </w:r>
      <w:r w:rsidRPr="008C74E5">
        <w:rPr>
          <w:i/>
          <w:iCs/>
        </w:rPr>
        <w:t xml:space="preserve">in </w:t>
      </w:r>
      <w:proofErr w:type="spellStart"/>
      <w:r w:rsidRPr="008C74E5">
        <w:t>Levizzani</w:t>
      </w:r>
      <w:proofErr w:type="spellEnd"/>
      <w:r w:rsidRPr="008C74E5">
        <w:t>, V., Kidd, C., Kirschbaum, D.B., Kummerow, C.D., Nakamura, K., and Turk, F.J., eds., Satellite Precipitation Measurement: Advances in Global Change Research, v. 67, Springer, Cham, p. 343–353, https://doi.org/10.1007/978-3-030-24568-9_19.</w:t>
      </w:r>
    </w:p>
    <w:p w14:paraId="558B499B" w14:textId="77777777" w:rsidR="006709D9" w:rsidRPr="00463E35" w:rsidRDefault="006709D9" w:rsidP="00767525">
      <w:pPr>
        <w:pStyle w:val="Reference"/>
      </w:pPr>
    </w:p>
    <w:p w14:paraId="7F8E67D3" w14:textId="77777777" w:rsidR="00E61386" w:rsidRPr="00644224" w:rsidRDefault="00E61386" w:rsidP="00767525">
      <w:pPr>
        <w:pStyle w:val="Reference"/>
      </w:pPr>
      <w:r w:rsidRPr="00644224">
        <w:t>Jenson, J.W., et al., 2008, </w:t>
      </w:r>
      <w:r w:rsidRPr="00644224">
        <w:rPr>
          <w:i/>
          <w:iCs/>
        </w:rPr>
        <w:t>Sustainable conjunctive use of groundwater and rain-catchment systems on Yap State atoll communities</w:t>
      </w:r>
      <w:r w:rsidRPr="00644224">
        <w:t xml:space="preserve">, Water and Environmental Research Institute of the Western Pacific (WERI), University of Guam report. </w:t>
      </w:r>
    </w:p>
    <w:p w14:paraId="562D0AA9" w14:textId="77777777" w:rsidR="006709D9" w:rsidRPr="00094B11" w:rsidRDefault="006709D9" w:rsidP="00767525">
      <w:pPr>
        <w:pStyle w:val="Reference"/>
      </w:pPr>
      <w:r w:rsidRPr="00094B11">
        <w:t xml:space="preserve">Karig, D. E., Anderson, R. N., and Bibee, L. D., 1978, </w:t>
      </w:r>
      <w:r w:rsidRPr="00094B11">
        <w:rPr>
          <w:i/>
          <w:iCs/>
        </w:rPr>
        <w:t>Characteristics of back</w:t>
      </w:r>
      <w:r w:rsidRPr="00094B11">
        <w:rPr>
          <w:i/>
          <w:iCs/>
        </w:rPr>
        <w:noBreakHyphen/>
        <w:t>arc spreading in the Mariana Trough</w:t>
      </w:r>
      <w:r w:rsidRPr="00094B11">
        <w:t xml:space="preserve">: </w:t>
      </w:r>
      <w:r w:rsidRPr="00094B11">
        <w:rPr>
          <w:i/>
          <w:iCs/>
        </w:rPr>
        <w:t>Journal of Geophysical Research</w:t>
      </w:r>
      <w:r w:rsidRPr="00094B11">
        <w:t xml:space="preserve">, v. 83, p. 1213–1226, doi:10.1029/JB083iB03p01213. </w:t>
      </w:r>
    </w:p>
    <w:p w14:paraId="18FED8C1" w14:textId="77777777" w:rsidR="006709D9" w:rsidRDefault="006709D9" w:rsidP="00767525">
      <w:pPr>
        <w:pStyle w:val="Reference"/>
      </w:pPr>
      <w:r w:rsidRPr="00094B11">
        <w:t xml:space="preserve">Klaus, A., Taylor, B., Moore, G., Okamura, Y., and Murakami, F., 1992, </w:t>
      </w:r>
      <w:r w:rsidRPr="00094B11">
        <w:rPr>
          <w:i/>
          <w:iCs/>
        </w:rPr>
        <w:t>Multichannel seismic and swath</w:t>
      </w:r>
      <w:r w:rsidRPr="00094B11">
        <w:rPr>
          <w:i/>
          <w:iCs/>
        </w:rPr>
        <w:noBreakHyphen/>
        <w:t>mapping investigations of back</w:t>
      </w:r>
      <w:r w:rsidRPr="00094B11">
        <w:rPr>
          <w:i/>
          <w:iCs/>
        </w:rPr>
        <w:noBreakHyphen/>
        <w:t>arc rifting in the Izu</w:t>
      </w:r>
      <w:r w:rsidRPr="00094B11">
        <w:rPr>
          <w:i/>
          <w:iCs/>
        </w:rPr>
        <w:noBreakHyphen/>
        <w:t>Bonin Arc</w:t>
      </w:r>
      <w:r w:rsidRPr="00094B11">
        <w:t xml:space="preserve"> (abstract), in </w:t>
      </w:r>
      <w:r w:rsidRPr="00094B11">
        <w:rPr>
          <w:i/>
          <w:iCs/>
        </w:rPr>
        <w:t>Abstracts, 1992 Japan Earth and Planetary Science Joint Meeting</w:t>
      </w:r>
      <w:r w:rsidRPr="00094B11">
        <w:t>, p. 325.</w:t>
      </w:r>
    </w:p>
    <w:p w14:paraId="5B9FAD3D" w14:textId="77777777" w:rsidR="00E61386" w:rsidRPr="00FB7CD1" w:rsidRDefault="00E61386" w:rsidP="00767525">
      <w:pPr>
        <w:pStyle w:val="Reference"/>
      </w:pPr>
      <w:r w:rsidRPr="00FB7CD1">
        <w:t xml:space="preserve">Leeling, D., 1996, </w:t>
      </w:r>
      <w:r w:rsidRPr="00FB7CD1">
        <w:rPr>
          <w:i/>
          <w:iCs/>
        </w:rPr>
        <w:t>Kosrae temperature and precipitation (rainfall) dataset, 1954–1995</w:t>
      </w:r>
      <w:r w:rsidRPr="00FB7CD1">
        <w:t>: College of Micronesia–FSM, digital dataset.</w:t>
      </w:r>
    </w:p>
    <w:p w14:paraId="1334CC4C" w14:textId="77777777" w:rsidR="00E61386" w:rsidRDefault="00E61386" w:rsidP="00767525">
      <w:pPr>
        <w:pStyle w:val="Reference"/>
      </w:pPr>
      <w:r w:rsidRPr="0038704F">
        <w:t xml:space="preserve">Mink, J.F., Murabayashi, E.T., and Lau, L.S., 1992, </w:t>
      </w:r>
      <w:r w:rsidRPr="0038704F">
        <w:rPr>
          <w:i/>
          <w:iCs/>
        </w:rPr>
        <w:t>Geology and hydrogeology of the island of Pohnpei, Federated States of Micronesia</w:t>
      </w:r>
      <w:r w:rsidRPr="0038704F">
        <w:t xml:space="preserve">: Hawaii Water Resources Research Center, Technical Report No. 189, 148 p. </w:t>
      </w:r>
    </w:p>
    <w:p w14:paraId="76B11501" w14:textId="77777777" w:rsidR="000F5DAF" w:rsidRPr="008C74E5" w:rsidRDefault="000F5DAF" w:rsidP="00767525">
      <w:pPr>
        <w:pStyle w:val="Reference"/>
      </w:pPr>
      <w:r w:rsidRPr="008C74E5">
        <w:t>National Aeronautics and Space Administration, 2025, IMERG—Integrated Multi-</w:t>
      </w:r>
      <w:proofErr w:type="spellStart"/>
      <w:r w:rsidRPr="008C74E5">
        <w:t>satellitE</w:t>
      </w:r>
      <w:proofErr w:type="spellEnd"/>
      <w:r w:rsidRPr="008C74E5">
        <w:t xml:space="preserve"> Retrievals for GPM: National Aeronautics and Space Administration digital data, accessed March 2025, at https://gpm.nasa.gov/data/imerg.</w:t>
      </w:r>
    </w:p>
    <w:p w14:paraId="1F3480C9" w14:textId="77777777" w:rsidR="000F5DAF" w:rsidRPr="008C74E5" w:rsidRDefault="000F5DAF" w:rsidP="00767525">
      <w:pPr>
        <w:pStyle w:val="Reference"/>
      </w:pPr>
      <w:r w:rsidRPr="008C74E5">
        <w:t>Pacific ENSO Applications Climate Center [PEAC], 2015, 3rd quarter, 2015: Pacific ENSO Update, v. 21, no. 3, accessed 2023, at https://www.weather.gov/media/peac/PEU/PEU_v21_n3.pdf.</w:t>
      </w:r>
    </w:p>
    <w:p w14:paraId="3C3D69F3" w14:textId="77777777" w:rsidR="000F5DAF" w:rsidRPr="008C74E5" w:rsidRDefault="000F5DAF" w:rsidP="00767525">
      <w:pPr>
        <w:pStyle w:val="Reference"/>
      </w:pPr>
      <w:proofErr w:type="spellStart"/>
      <w:r w:rsidRPr="008C74E5">
        <w:t>Pebesma</w:t>
      </w:r>
      <w:proofErr w:type="spellEnd"/>
      <w:r w:rsidRPr="008C74E5">
        <w:t xml:space="preserve">, E., 2018, Simple features for R—Standardized support for spatial vector data: </w:t>
      </w:r>
      <w:r w:rsidRPr="008C74E5">
        <w:rPr>
          <w:i/>
          <w:iCs/>
        </w:rPr>
        <w:t xml:space="preserve">The R Journal, </w:t>
      </w:r>
      <w:r w:rsidRPr="008C74E5">
        <w:t>v. 10, no. 1, p. 439–446, https://doi.org/10.32614/RJ-2018-009.</w:t>
      </w:r>
    </w:p>
    <w:p w14:paraId="1B165B55" w14:textId="77777777" w:rsidR="000F5DAF" w:rsidRPr="008C74E5" w:rsidRDefault="000F5DAF" w:rsidP="00767525">
      <w:pPr>
        <w:pStyle w:val="Reference"/>
      </w:pPr>
      <w:r w:rsidRPr="008C74E5">
        <w:t>R Core Team, 2024, R—A language and environment for statistical computing: Vienna, Austria, R Foundation for Statistical Computing, https://www.R-project.org/.</w:t>
      </w:r>
    </w:p>
    <w:p w14:paraId="43BA8D5E" w14:textId="77777777" w:rsidR="000F5DAF" w:rsidRPr="00465937" w:rsidRDefault="000F5DAF" w:rsidP="00767525">
      <w:pPr>
        <w:pStyle w:val="Reference"/>
      </w:pPr>
      <w:r w:rsidRPr="00465937">
        <w:t xml:space="preserve">Rong, Y., Park, J., Duggan, D., </w:t>
      </w:r>
      <w:proofErr w:type="spellStart"/>
      <w:r w:rsidRPr="00465937">
        <w:t>Mahdyiar</w:t>
      </w:r>
      <w:proofErr w:type="spellEnd"/>
      <w:r w:rsidRPr="00465937">
        <w:t xml:space="preserve">, M., and </w:t>
      </w:r>
      <w:proofErr w:type="spellStart"/>
      <w:r w:rsidRPr="00465937">
        <w:t>Bazzurro</w:t>
      </w:r>
      <w:proofErr w:type="spellEnd"/>
      <w:r w:rsidRPr="00465937">
        <w:t>, P., 2012, Probabilistic seismic hazard assessment for Pacific Island Countries: in Proceedings of the 15th World Conference on Earthquake Engineering, Lisbon, Portugal, Paper 2521, 10 p.</w:t>
      </w:r>
    </w:p>
    <w:p w14:paraId="4E802934" w14:textId="74BF129C" w:rsidR="001251BC" w:rsidRDefault="001251BC" w:rsidP="00767525">
      <w:pPr>
        <w:pStyle w:val="Reference"/>
      </w:pPr>
      <w:r w:rsidRPr="001251BC">
        <w:t xml:space="preserve">Raynor, B., 1995, </w:t>
      </w:r>
      <w:r w:rsidRPr="001251BC">
        <w:rPr>
          <w:i/>
          <w:iCs/>
        </w:rPr>
        <w:t>Montane cloud forests in Micronesia: Status and future management</w:t>
      </w:r>
      <w:r w:rsidRPr="001251BC">
        <w:t xml:space="preserve">, in Hamilton, L.S., Juvik, J.O., and Scatena, F.N., eds., </w:t>
      </w:r>
      <w:r w:rsidRPr="001251BC">
        <w:rPr>
          <w:i/>
          <w:iCs/>
        </w:rPr>
        <w:t>Tropical Montane Cloud Forests</w:t>
      </w:r>
      <w:r w:rsidRPr="001251BC">
        <w:t>: Ecological Studies, v. 110, p. 274–283, Springer-Verlag, New York.</w:t>
      </w:r>
    </w:p>
    <w:p w14:paraId="1D470260" w14:textId="77777777" w:rsidR="00E61386" w:rsidRPr="00EB5934" w:rsidRDefault="00E61386" w:rsidP="00767525">
      <w:pPr>
        <w:pStyle w:val="Reference"/>
      </w:pPr>
      <w:r w:rsidRPr="00EB5934">
        <w:t xml:space="preserve">Rehman, H. U., Nakaya, H., and Kawai, K., 2013, Geological origin of the volcanic islands of the Caroline Group in the Federated States of Micronesia, western Pacific: </w:t>
      </w:r>
      <w:r w:rsidRPr="00EB5934">
        <w:rPr>
          <w:i/>
          <w:iCs/>
        </w:rPr>
        <w:t>South Pacific Studies</w:t>
      </w:r>
      <w:r w:rsidRPr="00EB5934">
        <w:t>, v. 33, no. 2, p. 101–118.</w:t>
      </w:r>
    </w:p>
    <w:p w14:paraId="41BEF94F" w14:textId="77777777" w:rsidR="00E61386" w:rsidRDefault="00E61386" w:rsidP="00767525">
      <w:pPr>
        <w:pStyle w:val="Reference"/>
      </w:pPr>
      <w:r w:rsidRPr="00644224">
        <w:t xml:space="preserve">Samson, F., and </w:t>
      </w:r>
      <w:proofErr w:type="spellStart"/>
      <w:r w:rsidRPr="00644224">
        <w:t>Ruegorong</w:t>
      </w:r>
      <w:proofErr w:type="spellEnd"/>
      <w:r w:rsidRPr="00644224">
        <w:t>, Y., 2021, </w:t>
      </w:r>
      <w:r w:rsidRPr="00644224">
        <w:rPr>
          <w:i/>
          <w:iCs/>
        </w:rPr>
        <w:t>Watershed-based assessment of food security and biodiversity on Yap</w:t>
      </w:r>
      <w:r w:rsidRPr="00644224">
        <w:t>—Yap State Forestry and the Institute of Pacific Islands Forestry, Hilo, Hawaii, report 12–1G</w:t>
      </w:r>
      <w:r w:rsidRPr="00644224">
        <w:noBreakHyphen/>
        <w:t xml:space="preserve">11052021–223. </w:t>
      </w:r>
    </w:p>
    <w:p w14:paraId="0350B355" w14:textId="77777777" w:rsidR="006709D9" w:rsidRPr="0033154E" w:rsidRDefault="006709D9" w:rsidP="00767525">
      <w:pPr>
        <w:pStyle w:val="Reference"/>
      </w:pPr>
      <w:r w:rsidRPr="0033154E">
        <w:t xml:space="preserve">Scholz, C. H., and Campos, J., 1995, </w:t>
      </w:r>
      <w:r w:rsidRPr="0033154E">
        <w:rPr>
          <w:i/>
          <w:iCs/>
        </w:rPr>
        <w:t>On the mechanism of seismic decoupling and back</w:t>
      </w:r>
      <w:r w:rsidRPr="0033154E">
        <w:rPr>
          <w:i/>
          <w:iCs/>
        </w:rPr>
        <w:noBreakHyphen/>
        <w:t>arc spreading at subduction zones</w:t>
      </w:r>
      <w:r w:rsidRPr="0033154E">
        <w:t xml:space="preserve">: </w:t>
      </w:r>
      <w:r w:rsidRPr="0033154E">
        <w:rPr>
          <w:i/>
          <w:iCs/>
        </w:rPr>
        <w:t>Journal of Geophysical Research – Solid Earth</w:t>
      </w:r>
      <w:r w:rsidRPr="0033154E">
        <w:t>, v. 100, no. B11, p. 22,103–22,115, doi:10.1029/95JB01869</w:t>
      </w:r>
    </w:p>
    <w:p w14:paraId="6DC3C00B" w14:textId="77777777" w:rsidR="00702792" w:rsidRPr="008C74E5" w:rsidRDefault="00702792" w:rsidP="00767525">
      <w:pPr>
        <w:pStyle w:val="Reference"/>
      </w:pPr>
      <w:r w:rsidRPr="008C74E5">
        <w:t>Senay, G.B., Helweg, D.A., Kagone, S., Taylor, J.B., Cecere, T., Eastmond, T., Koch, A., Nelson, K., and Rufus, L., 2023, Developing satellite-estimated precipitation monthly reports for selected locations in the Republic of the Marshall Islands: U.S. Geological Survey Data Report 1181, 7 p., https://doi.org/10.3133/dr1181.</w:t>
      </w:r>
    </w:p>
    <w:p w14:paraId="18935FA1" w14:textId="63EF04C0" w:rsidR="00E61386" w:rsidRDefault="00E61386" w:rsidP="00767525">
      <w:pPr>
        <w:pStyle w:val="Reference"/>
      </w:pPr>
      <w:r w:rsidRPr="00056EE4">
        <w:t>Senay, G.B., Kagone, S., and Velpuri, N.M., 2020, Operational global actual evapotranspiration using the SSEBop model—USGS data release: U.S. Geological Survey Data Release, DOI:10.5066/P9OUVUUI.</w:t>
      </w:r>
    </w:p>
    <w:p w14:paraId="1442092B" w14:textId="77777777" w:rsidR="00E61386" w:rsidRDefault="00E61386" w:rsidP="00767525">
      <w:pPr>
        <w:pStyle w:val="Reference"/>
      </w:pPr>
      <w:r w:rsidRPr="00711672">
        <w:t xml:space="preserve">Shade, P.J., Anthony, S.S., and Takasaki, K.J., 1992, </w:t>
      </w:r>
      <w:r w:rsidRPr="00711672">
        <w:rPr>
          <w:i/>
          <w:iCs/>
        </w:rPr>
        <w:t>Ground-water resources reconnaissance of the Yap main islands, Federated States of Micronesia</w:t>
      </w:r>
      <w:r w:rsidRPr="00711672">
        <w:t>: U.S. Geological Survey Water</w:t>
      </w:r>
      <w:r w:rsidRPr="00711672">
        <w:noBreakHyphen/>
        <w:t>Resources Investigations Report 90</w:t>
      </w:r>
      <w:r w:rsidRPr="00711672">
        <w:noBreakHyphen/>
        <w:t xml:space="preserve">4074, vi, 71 p., </w:t>
      </w:r>
      <w:hyperlink r:id="rId55" w:history="1">
        <w:r w:rsidRPr="00711672">
          <w:rPr>
            <w:rStyle w:val="Hyperlink"/>
          </w:rPr>
          <w:t>https://doi.org/10.3133/wri904074</w:t>
        </w:r>
      </w:hyperlink>
    </w:p>
    <w:p w14:paraId="15E43274" w14:textId="77777777" w:rsidR="00E61386" w:rsidRPr="000F6005" w:rsidRDefault="00E61386" w:rsidP="00767525">
      <w:pPr>
        <w:pStyle w:val="Reference"/>
      </w:pPr>
      <w:r w:rsidRPr="000F6005">
        <w:t xml:space="preserve">Spengler, S. R., Peterson, F. L., and Mink, J. F., 1991, </w:t>
      </w:r>
      <w:r w:rsidRPr="000F6005">
        <w:rPr>
          <w:i/>
          <w:iCs/>
        </w:rPr>
        <w:t>Geology and hydrogeology of the island of Pohnpei, Federated States of Micronesia</w:t>
      </w:r>
      <w:r w:rsidRPr="000F6005">
        <w:t xml:space="preserve"> (Water Resources Research Center Technical Report No. 189, University of Hawaii at Manoa): University of Hawaii, Water Resources Research Center, 79 p. </w:t>
      </w:r>
    </w:p>
    <w:p w14:paraId="6E7048C1" w14:textId="77777777" w:rsidR="00E61386" w:rsidRDefault="00E61386" w:rsidP="00767525">
      <w:pPr>
        <w:pStyle w:val="Reference"/>
      </w:pPr>
      <w:r w:rsidRPr="000F6005">
        <w:t xml:space="preserve">Spengler, S. R., Spencer, K. J., Mahoney, J. J., and Goles, G. G., 2012, </w:t>
      </w:r>
      <w:r w:rsidRPr="000F6005">
        <w:rPr>
          <w:i/>
          <w:iCs/>
        </w:rPr>
        <w:t>Geology and geochemical evolution of lavas on the island of Pohnpei, Federated States of Micronesia</w:t>
      </w:r>
      <w:r w:rsidRPr="000F6005">
        <w:t xml:space="preserve">: University of Hawaii and University of Oregon report, 16 p. </w:t>
      </w:r>
    </w:p>
    <w:p w14:paraId="7BFB445B" w14:textId="77777777" w:rsidR="003A34CF" w:rsidRPr="00A85C17" w:rsidRDefault="003A34CF" w:rsidP="00767525">
      <w:pPr>
        <w:pStyle w:val="Reference"/>
      </w:pPr>
      <w:r w:rsidRPr="00A85C17">
        <w:t xml:space="preserve">Tribble, G.W., 2008, </w:t>
      </w:r>
      <w:r w:rsidRPr="00A85C17">
        <w:rPr>
          <w:i/>
          <w:iCs/>
        </w:rPr>
        <w:t>Ground water on tropical Pacific Islands—understanding a vital resource</w:t>
      </w:r>
      <w:r w:rsidRPr="00A85C17">
        <w:t>: U.S. Geological Survey Circular 1312, 35 p.</w:t>
      </w:r>
    </w:p>
    <w:p w14:paraId="30CFB7A9" w14:textId="71CBFF49" w:rsidR="003900A6" w:rsidRDefault="003900A6" w:rsidP="00767525">
      <w:pPr>
        <w:pStyle w:val="Reference"/>
      </w:pPr>
      <w:r w:rsidRPr="00767525">
        <w:t>USGS Data release</w:t>
      </w:r>
    </w:p>
    <w:p w14:paraId="59309399" w14:textId="77777777" w:rsidR="00702792" w:rsidRPr="00AC6146" w:rsidRDefault="00702792" w:rsidP="00767525">
      <w:pPr>
        <w:pStyle w:val="Reference"/>
      </w:pPr>
      <w:r w:rsidRPr="00AC6146">
        <w:t xml:space="preserve">U.S. Geological Survey, 2021 (updated), </w:t>
      </w:r>
      <w:r w:rsidRPr="00AC6146">
        <w:rPr>
          <w:i/>
          <w:iCs/>
        </w:rPr>
        <w:t>Landslides—Subduction Zone Science</w:t>
      </w:r>
      <w:r w:rsidRPr="00AC6146">
        <w:t>, accessed April 11, 2026, at https://www.usgs.gov/special-topics/subduction-zone-science/science/landslides</w:t>
      </w:r>
    </w:p>
    <w:p w14:paraId="28AA7919" w14:textId="40E3D369" w:rsidR="00EB5934" w:rsidRDefault="00EB5934" w:rsidP="00767525">
      <w:pPr>
        <w:pStyle w:val="Reference"/>
      </w:pPr>
      <w:r w:rsidRPr="00EB5934">
        <w:t xml:space="preserve">U.S. Geological Survey, 2015, </w:t>
      </w:r>
      <w:r w:rsidRPr="00EB5934">
        <w:rPr>
          <w:i/>
          <w:iCs/>
        </w:rPr>
        <w:t>USGS 10</w:t>
      </w:r>
      <w:r w:rsidRPr="00EB5934">
        <w:rPr>
          <w:i/>
          <w:iCs/>
        </w:rPr>
        <w:noBreakHyphen/>
        <w:t>m Digital Elevation Model (DEM): FSM: Kosrae</w:t>
      </w:r>
      <w:r w:rsidRPr="00EB5934">
        <w:t xml:space="preserve"> (Digital dataset): U.S. Geological Survey, accessed via Pacific Islands Ocean Observing System, May 11, 2015, at </w:t>
      </w:r>
      <w:hyperlink r:id="rId56" w:history="1">
        <w:r w:rsidR="0056304C" w:rsidRPr="00B869ED">
          <w:rPr>
            <w:rStyle w:val="Hyperlink"/>
          </w:rPr>
          <w:t>http://pacioos.org/metadata/usgs_dem_10m_kosrae.html</w:t>
        </w:r>
      </w:hyperlink>
      <w:r w:rsidRPr="00EB5934">
        <w:t>.</w:t>
      </w:r>
    </w:p>
    <w:p w14:paraId="4D67C94C" w14:textId="77777777" w:rsidR="0056304C" w:rsidRDefault="0056304C" w:rsidP="00767525">
      <w:pPr>
        <w:pStyle w:val="Reference"/>
      </w:pPr>
      <w:r w:rsidRPr="00507A49">
        <w:t xml:space="preserve">U.S. Geological Survey, 2018, </w:t>
      </w:r>
      <w:r w:rsidRPr="00507A49">
        <w:rPr>
          <w:i/>
          <w:iCs/>
        </w:rPr>
        <w:t>Saltwater contamination of freshwater resources could make many atoll islands uninhabitable in decades</w:t>
      </w:r>
      <w:r w:rsidRPr="00507A49">
        <w:t xml:space="preserve">: U.S. Geological Survey News Release, April 25, 2018, accessed April 12, 2026, at </w:t>
      </w:r>
      <w:hyperlink r:id="rId57" w:history="1">
        <w:r w:rsidRPr="00B869ED">
          <w:rPr>
            <w:rStyle w:val="Hyperlink"/>
          </w:rPr>
          <w:t>https://www.usgs.gov/news/saltwater-contamination-freshwater-resources-could-make-many-atoll-islands-uninhabitable</w:t>
        </w:r>
      </w:hyperlink>
    </w:p>
    <w:p w14:paraId="21A25123" w14:textId="77777777" w:rsidR="0056304C" w:rsidRDefault="0056304C" w:rsidP="00767525">
      <w:pPr>
        <w:pStyle w:val="Reference"/>
      </w:pPr>
      <w:r w:rsidRPr="001057E6">
        <w:t xml:space="preserve">U.S. Geological Survey, 2025a, </w:t>
      </w:r>
      <w:r w:rsidRPr="001057E6">
        <w:rPr>
          <w:i/>
          <w:iCs/>
        </w:rPr>
        <w:t>M 5.9 – State of Yap, Federated States of Micronesia (2025</w:t>
      </w:r>
      <w:r w:rsidRPr="001057E6">
        <w:rPr>
          <w:i/>
          <w:iCs/>
        </w:rPr>
        <w:noBreakHyphen/>
        <w:t>10</w:t>
      </w:r>
      <w:r w:rsidRPr="001057E6">
        <w:rPr>
          <w:i/>
          <w:iCs/>
        </w:rPr>
        <w:noBreakHyphen/>
        <w:t>13)</w:t>
      </w:r>
      <w:r w:rsidRPr="001057E6">
        <w:t xml:space="preserve">: USGS Earthquake Catalog, retrieved Apr. 17, 2026, from https://earthquake.usgs.gov/earthquakes/eventpage/us6000rgul </w:t>
      </w:r>
    </w:p>
    <w:p w14:paraId="6B0F6E19" w14:textId="77777777" w:rsidR="0056304C" w:rsidRDefault="0056304C" w:rsidP="00767525">
      <w:pPr>
        <w:pStyle w:val="Reference"/>
      </w:pPr>
      <w:r w:rsidRPr="001057E6">
        <w:t xml:space="preserve">U.S. Geological Survey, 2025b, </w:t>
      </w:r>
      <w:r w:rsidRPr="001057E6">
        <w:rPr>
          <w:i/>
          <w:iCs/>
        </w:rPr>
        <w:t>M 5.4 – South of the Fiji Islands (2025</w:t>
      </w:r>
      <w:r w:rsidRPr="001057E6">
        <w:rPr>
          <w:i/>
          <w:iCs/>
        </w:rPr>
        <w:noBreakHyphen/>
        <w:t>10</w:t>
      </w:r>
      <w:r w:rsidRPr="001057E6">
        <w:rPr>
          <w:i/>
          <w:iCs/>
        </w:rPr>
        <w:noBreakHyphen/>
        <w:t>31)</w:t>
      </w:r>
      <w:r w:rsidRPr="001057E6">
        <w:t xml:space="preserve">: USGS Earthquake Catalog, retrieved Apr. 17, 2026, from https://earthquake.usgs.gov/earthquakes/eventpage/us6000rkpc </w:t>
      </w:r>
    </w:p>
    <w:p w14:paraId="1E3ADC37" w14:textId="77777777" w:rsidR="00AE4A59" w:rsidRPr="008A457B" w:rsidRDefault="00AE4A59" w:rsidP="00767525">
      <w:pPr>
        <w:pStyle w:val="Reference"/>
      </w:pPr>
      <w:r w:rsidRPr="008A457B">
        <w:t xml:space="preserve">Van der Brug, O., 1984, </w:t>
      </w:r>
      <w:r w:rsidRPr="008A457B">
        <w:rPr>
          <w:i/>
          <w:iCs/>
        </w:rPr>
        <w:t>Water resources of Kosrae, Caroline Islands</w:t>
      </w:r>
      <w:r w:rsidRPr="008A457B">
        <w:t>: U.S. Geological Survey Water</w:t>
      </w:r>
      <w:r w:rsidRPr="008A457B">
        <w:noBreakHyphen/>
        <w:t>Resources Investigations Report 83</w:t>
      </w:r>
      <w:r w:rsidRPr="008A457B">
        <w:noBreakHyphen/>
        <w:t xml:space="preserve">4161, 143 p., </w:t>
      </w:r>
      <w:hyperlink r:id="rId58" w:history="1">
        <w:r w:rsidRPr="00D512CE">
          <w:rPr>
            <w:rStyle w:val="Hyperlink"/>
          </w:rPr>
          <w:t>https://doi.org/10.3133/wri834161</w:t>
        </w:r>
      </w:hyperlink>
      <w:r w:rsidRPr="008A457B">
        <w:t>.</w:t>
      </w:r>
    </w:p>
    <w:p w14:paraId="5DE1E729" w14:textId="77777777" w:rsidR="00AE4A59" w:rsidRDefault="00AE4A59" w:rsidP="00767525">
      <w:pPr>
        <w:pStyle w:val="Reference"/>
      </w:pPr>
      <w:r w:rsidRPr="00572694">
        <w:t xml:space="preserve">Werner, A.D., Sharp, H.K., Galvis, S.C., Post, V.E.A., and Sinclair, P., 2017, </w:t>
      </w:r>
      <w:r w:rsidRPr="00572694">
        <w:rPr>
          <w:i/>
          <w:iCs/>
        </w:rPr>
        <w:t>Hydrogeology and management of freshwater lenses on atoll islands: Review of current knowledge and research needs</w:t>
      </w:r>
      <w:r w:rsidRPr="00572694">
        <w:t>: Journal of Hydrology, v. 550, p. 111–125.</w:t>
      </w:r>
    </w:p>
    <w:p w14:paraId="5900AA5D" w14:textId="77777777" w:rsidR="00004914" w:rsidRPr="008C74E5" w:rsidRDefault="00004914" w:rsidP="00767525">
      <w:pPr>
        <w:pStyle w:val="Reference"/>
      </w:pPr>
      <w:r w:rsidRPr="008C74E5">
        <w:t xml:space="preserve">Wickham, H., Averick, M., Bryan, J., Chang, W., McGowan, L.D., François, R., Grolemund, G., Hayes, A., Henry, L., Hester, J., Kuhn, M., Pedersen, T.L., Miller, E., Bache, S.M., Müller, K., Ooms, J., Robinson, D., Seidel, D.P., Spinu, V., Takahashi, K., Vaughan, D., Wilke, C., Woo, K., and Yutani, H., 2019, Welcome to the </w:t>
      </w:r>
      <w:proofErr w:type="spellStart"/>
      <w:r w:rsidRPr="008C74E5">
        <w:t>Tidyverse</w:t>
      </w:r>
      <w:proofErr w:type="spellEnd"/>
      <w:r w:rsidRPr="008C74E5">
        <w:t xml:space="preserve">: </w:t>
      </w:r>
      <w:r w:rsidRPr="008C74E5">
        <w:rPr>
          <w:i/>
          <w:iCs/>
        </w:rPr>
        <w:t xml:space="preserve">Journal of Open Source Software, </w:t>
      </w:r>
      <w:r w:rsidRPr="008C74E5">
        <w:t>v. 4, no. 43, p. 1686, https://doi.org/10.21105/joss.01686.</w:t>
      </w:r>
    </w:p>
    <w:p w14:paraId="08D38B08" w14:textId="4505F77A" w:rsidR="000F6005" w:rsidRPr="000F6005" w:rsidRDefault="000F6005" w:rsidP="00767525">
      <w:pPr>
        <w:pStyle w:val="Reference"/>
      </w:pPr>
      <w:r w:rsidRPr="000F6005">
        <w:t xml:space="preserve">Zong, T., Li, Z.-G., Dong, Y.-H., Li, X.-P., and Zhu, J.-H., 2020, </w:t>
      </w:r>
      <w:r w:rsidRPr="000F6005">
        <w:rPr>
          <w:i/>
          <w:iCs/>
        </w:rPr>
        <w:t>Geochemical constraints on mantle melting and magma genesis at Pohnpei Island, Micronesia</w:t>
      </w:r>
      <w:r w:rsidRPr="000F6005">
        <w:t xml:space="preserve">, </w:t>
      </w:r>
      <w:r w:rsidRPr="000F6005">
        <w:rPr>
          <w:i/>
          <w:iCs/>
        </w:rPr>
        <w:t>Minerals</w:t>
      </w:r>
      <w:r w:rsidRPr="000F6005">
        <w:t>, v. 10, no. 9, 816, doi:10.3390/min10090816.</w:t>
      </w:r>
    </w:p>
    <w:p w14:paraId="5F832692" w14:textId="77777777" w:rsidR="00AE4A59" w:rsidRPr="00507A49" w:rsidRDefault="00AE4A59" w:rsidP="00507A49">
      <w:pPr>
        <w:pStyle w:val="Reference"/>
      </w:pPr>
    </w:p>
    <w:p w14:paraId="32F86B89" w14:textId="77777777" w:rsidR="00463E35" w:rsidRPr="00F0200C" w:rsidRDefault="00463E35" w:rsidP="000A40DB">
      <w:pPr>
        <w:pStyle w:val="Reference"/>
        <w:ind w:left="0" w:firstLine="0"/>
      </w:pPr>
    </w:p>
    <w:sectPr w:rsidR="00463E35" w:rsidRPr="00F0200C" w:rsidSect="003E3FFA">
      <w:footerReference w:type="default" r:id="rId59"/>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44CD13A" w14:textId="77777777" w:rsidR="00F14829" w:rsidRDefault="00F14829" w:rsidP="006E5BF4">
      <w:pPr>
        <w:spacing w:after="0" w:line="240" w:lineRule="auto"/>
      </w:pPr>
      <w:r>
        <w:separator/>
      </w:r>
    </w:p>
    <w:p w14:paraId="12034E1A" w14:textId="77777777" w:rsidR="00F14829" w:rsidRDefault="00F14829"/>
    <w:p w14:paraId="23D7FF7B" w14:textId="77777777" w:rsidR="00F14829" w:rsidRDefault="00F14829"/>
  </w:endnote>
  <w:endnote w:type="continuationSeparator" w:id="0">
    <w:p w14:paraId="76A0CA01" w14:textId="77777777" w:rsidR="00F14829" w:rsidRDefault="00F14829" w:rsidP="006E5BF4">
      <w:pPr>
        <w:spacing w:after="0" w:line="240" w:lineRule="auto"/>
      </w:pPr>
      <w:r>
        <w:continuationSeparator/>
      </w:r>
    </w:p>
    <w:p w14:paraId="11728306" w14:textId="77777777" w:rsidR="00F14829" w:rsidRDefault="00F14829"/>
    <w:p w14:paraId="71193DFD" w14:textId="77777777" w:rsidR="00F14829" w:rsidRDefault="00F14829"/>
  </w:endnote>
  <w:endnote w:type="continuationNotice" w:id="1">
    <w:p w14:paraId="7DD56951" w14:textId="77777777" w:rsidR="00F14829" w:rsidRDefault="00F14829">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Arial Narrow">
    <w:altName w:val="Arial"/>
    <w:charset w:val="00"/>
    <w:family w:val="swiss"/>
    <w:pitch w:val="variable"/>
    <w:sig w:usb0="00000287" w:usb1="00000800" w:usb2="00000000" w:usb3="00000000" w:csb0="0000009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roman"/>
    <w:pitch w:val="fixed"/>
    <w:sig w:usb0="00000001" w:usb1="08070000" w:usb2="00000010" w:usb3="00000000" w:csb0="00020000"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89A5936" w14:textId="6042B003" w:rsidR="00B5798F" w:rsidRDefault="00B5798F" w:rsidP="5D4249CE">
    <w:pPr>
      <w:pStyle w:val="Footer"/>
      <w:jc w:val="center"/>
      <w:rPr>
        <w:noProof/>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622E831" w14:textId="77777777" w:rsidR="00F14829" w:rsidRDefault="00F14829" w:rsidP="00B41E6F">
      <w:pPr>
        <w:spacing w:after="0" w:line="240" w:lineRule="auto"/>
      </w:pPr>
      <w:r>
        <w:separator/>
      </w:r>
    </w:p>
  </w:footnote>
  <w:footnote w:type="continuationSeparator" w:id="0">
    <w:p w14:paraId="4D7A50E2" w14:textId="77777777" w:rsidR="00F14829" w:rsidRDefault="00F14829" w:rsidP="006E5BF4">
      <w:pPr>
        <w:spacing w:after="0" w:line="240" w:lineRule="auto"/>
      </w:pPr>
      <w:r>
        <w:continuationSeparator/>
      </w:r>
    </w:p>
    <w:p w14:paraId="687DBFD9" w14:textId="77777777" w:rsidR="00F14829" w:rsidRDefault="00F14829"/>
    <w:p w14:paraId="3B35C831" w14:textId="77777777" w:rsidR="00F14829" w:rsidRDefault="00F14829"/>
  </w:footnote>
  <w:footnote w:type="continuationNotice" w:id="1">
    <w:p w14:paraId="58479568" w14:textId="77777777" w:rsidR="00F14829" w:rsidRDefault="00F14829">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48474E7"/>
    <w:multiLevelType w:val="multilevel"/>
    <w:tmpl w:val="4C8610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4874CC3"/>
    <w:multiLevelType w:val="multilevel"/>
    <w:tmpl w:val="1A56B6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4A42CBA"/>
    <w:multiLevelType w:val="hybridMultilevel"/>
    <w:tmpl w:val="4EE04B04"/>
    <w:lvl w:ilvl="0" w:tplc="4DD68C9A">
      <w:start w:val="1"/>
      <w:numFmt w:val="bullet"/>
      <w:lvlText w:val=""/>
      <w:lvlJc w:val="left"/>
      <w:pPr>
        <w:ind w:left="720" w:hanging="360"/>
      </w:pPr>
      <w:rPr>
        <w:rFonts w:ascii="Symbol" w:hAnsi="Symbol"/>
      </w:rPr>
    </w:lvl>
    <w:lvl w:ilvl="1" w:tplc="7A2A2934">
      <w:start w:val="1"/>
      <w:numFmt w:val="bullet"/>
      <w:lvlText w:val=""/>
      <w:lvlJc w:val="left"/>
      <w:pPr>
        <w:ind w:left="720" w:hanging="360"/>
      </w:pPr>
      <w:rPr>
        <w:rFonts w:ascii="Symbol" w:hAnsi="Symbol"/>
      </w:rPr>
    </w:lvl>
    <w:lvl w:ilvl="2" w:tplc="03ECEA5A">
      <w:start w:val="1"/>
      <w:numFmt w:val="bullet"/>
      <w:lvlText w:val=""/>
      <w:lvlJc w:val="left"/>
      <w:pPr>
        <w:ind w:left="720" w:hanging="360"/>
      </w:pPr>
      <w:rPr>
        <w:rFonts w:ascii="Symbol" w:hAnsi="Symbol"/>
      </w:rPr>
    </w:lvl>
    <w:lvl w:ilvl="3" w:tplc="0CB6E51E">
      <w:start w:val="1"/>
      <w:numFmt w:val="bullet"/>
      <w:lvlText w:val=""/>
      <w:lvlJc w:val="left"/>
      <w:pPr>
        <w:ind w:left="720" w:hanging="360"/>
      </w:pPr>
      <w:rPr>
        <w:rFonts w:ascii="Symbol" w:hAnsi="Symbol"/>
      </w:rPr>
    </w:lvl>
    <w:lvl w:ilvl="4" w:tplc="6F1AC790">
      <w:start w:val="1"/>
      <w:numFmt w:val="bullet"/>
      <w:lvlText w:val=""/>
      <w:lvlJc w:val="left"/>
      <w:pPr>
        <w:ind w:left="720" w:hanging="360"/>
      </w:pPr>
      <w:rPr>
        <w:rFonts w:ascii="Symbol" w:hAnsi="Symbol"/>
      </w:rPr>
    </w:lvl>
    <w:lvl w:ilvl="5" w:tplc="61A2FF92">
      <w:start w:val="1"/>
      <w:numFmt w:val="bullet"/>
      <w:lvlText w:val=""/>
      <w:lvlJc w:val="left"/>
      <w:pPr>
        <w:ind w:left="720" w:hanging="360"/>
      </w:pPr>
      <w:rPr>
        <w:rFonts w:ascii="Symbol" w:hAnsi="Symbol"/>
      </w:rPr>
    </w:lvl>
    <w:lvl w:ilvl="6" w:tplc="48F09324">
      <w:start w:val="1"/>
      <w:numFmt w:val="bullet"/>
      <w:lvlText w:val=""/>
      <w:lvlJc w:val="left"/>
      <w:pPr>
        <w:ind w:left="720" w:hanging="360"/>
      </w:pPr>
      <w:rPr>
        <w:rFonts w:ascii="Symbol" w:hAnsi="Symbol"/>
      </w:rPr>
    </w:lvl>
    <w:lvl w:ilvl="7" w:tplc="43B2816C">
      <w:start w:val="1"/>
      <w:numFmt w:val="bullet"/>
      <w:lvlText w:val=""/>
      <w:lvlJc w:val="left"/>
      <w:pPr>
        <w:ind w:left="720" w:hanging="360"/>
      </w:pPr>
      <w:rPr>
        <w:rFonts w:ascii="Symbol" w:hAnsi="Symbol"/>
      </w:rPr>
    </w:lvl>
    <w:lvl w:ilvl="8" w:tplc="899CC980">
      <w:start w:val="1"/>
      <w:numFmt w:val="bullet"/>
      <w:lvlText w:val=""/>
      <w:lvlJc w:val="left"/>
      <w:pPr>
        <w:ind w:left="720" w:hanging="360"/>
      </w:pPr>
      <w:rPr>
        <w:rFonts w:ascii="Symbol" w:hAnsi="Symbol"/>
      </w:rPr>
    </w:lvl>
  </w:abstractNum>
  <w:abstractNum w:abstractNumId="3" w15:restartNumberingAfterBreak="0">
    <w:nsid w:val="07EE6FBC"/>
    <w:multiLevelType w:val="hybridMultilevel"/>
    <w:tmpl w:val="33825EFA"/>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80F50D6"/>
    <w:multiLevelType w:val="multilevel"/>
    <w:tmpl w:val="DEB08D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0A08187D"/>
    <w:multiLevelType w:val="multilevel"/>
    <w:tmpl w:val="2E7CDA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0D2738C6"/>
    <w:multiLevelType w:val="multilevel"/>
    <w:tmpl w:val="9ED01A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0EDC4630"/>
    <w:multiLevelType w:val="multilevel"/>
    <w:tmpl w:val="E74A8A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109C71C3"/>
    <w:multiLevelType w:val="multilevel"/>
    <w:tmpl w:val="4A76F0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14455540"/>
    <w:multiLevelType w:val="multilevel"/>
    <w:tmpl w:val="5BFEB3A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19731951"/>
    <w:multiLevelType w:val="hybridMultilevel"/>
    <w:tmpl w:val="EB465E20"/>
    <w:lvl w:ilvl="0" w:tplc="8E003BD4">
      <w:start w:val="1"/>
      <w:numFmt w:val="bullet"/>
      <w:lvlText w:val=""/>
      <w:lvlJc w:val="left"/>
      <w:pPr>
        <w:ind w:left="1080" w:hanging="360"/>
      </w:pPr>
      <w:rPr>
        <w:rFonts w:ascii="Symbol" w:hAnsi="Symbol"/>
      </w:rPr>
    </w:lvl>
    <w:lvl w:ilvl="1" w:tplc="BE1A65C8">
      <w:start w:val="1"/>
      <w:numFmt w:val="bullet"/>
      <w:lvlText w:val=""/>
      <w:lvlJc w:val="left"/>
      <w:pPr>
        <w:ind w:left="1080" w:hanging="360"/>
      </w:pPr>
      <w:rPr>
        <w:rFonts w:ascii="Symbol" w:hAnsi="Symbol"/>
      </w:rPr>
    </w:lvl>
    <w:lvl w:ilvl="2" w:tplc="497C8AF0">
      <w:start w:val="1"/>
      <w:numFmt w:val="bullet"/>
      <w:lvlText w:val=""/>
      <w:lvlJc w:val="left"/>
      <w:pPr>
        <w:ind w:left="1080" w:hanging="360"/>
      </w:pPr>
      <w:rPr>
        <w:rFonts w:ascii="Symbol" w:hAnsi="Symbol"/>
      </w:rPr>
    </w:lvl>
    <w:lvl w:ilvl="3" w:tplc="94004CC0">
      <w:start w:val="1"/>
      <w:numFmt w:val="bullet"/>
      <w:lvlText w:val=""/>
      <w:lvlJc w:val="left"/>
      <w:pPr>
        <w:ind w:left="1080" w:hanging="360"/>
      </w:pPr>
      <w:rPr>
        <w:rFonts w:ascii="Symbol" w:hAnsi="Symbol"/>
      </w:rPr>
    </w:lvl>
    <w:lvl w:ilvl="4" w:tplc="DAF47926">
      <w:start w:val="1"/>
      <w:numFmt w:val="bullet"/>
      <w:lvlText w:val=""/>
      <w:lvlJc w:val="left"/>
      <w:pPr>
        <w:ind w:left="1080" w:hanging="360"/>
      </w:pPr>
      <w:rPr>
        <w:rFonts w:ascii="Symbol" w:hAnsi="Symbol"/>
      </w:rPr>
    </w:lvl>
    <w:lvl w:ilvl="5" w:tplc="352AFF44">
      <w:start w:val="1"/>
      <w:numFmt w:val="bullet"/>
      <w:lvlText w:val=""/>
      <w:lvlJc w:val="left"/>
      <w:pPr>
        <w:ind w:left="1080" w:hanging="360"/>
      </w:pPr>
      <w:rPr>
        <w:rFonts w:ascii="Symbol" w:hAnsi="Symbol"/>
      </w:rPr>
    </w:lvl>
    <w:lvl w:ilvl="6" w:tplc="63D68048">
      <w:start w:val="1"/>
      <w:numFmt w:val="bullet"/>
      <w:lvlText w:val=""/>
      <w:lvlJc w:val="left"/>
      <w:pPr>
        <w:ind w:left="1080" w:hanging="360"/>
      </w:pPr>
      <w:rPr>
        <w:rFonts w:ascii="Symbol" w:hAnsi="Symbol"/>
      </w:rPr>
    </w:lvl>
    <w:lvl w:ilvl="7" w:tplc="CE94B988">
      <w:start w:val="1"/>
      <w:numFmt w:val="bullet"/>
      <w:lvlText w:val=""/>
      <w:lvlJc w:val="left"/>
      <w:pPr>
        <w:ind w:left="1080" w:hanging="360"/>
      </w:pPr>
      <w:rPr>
        <w:rFonts w:ascii="Symbol" w:hAnsi="Symbol"/>
      </w:rPr>
    </w:lvl>
    <w:lvl w:ilvl="8" w:tplc="1A3602E0">
      <w:start w:val="1"/>
      <w:numFmt w:val="bullet"/>
      <w:lvlText w:val=""/>
      <w:lvlJc w:val="left"/>
      <w:pPr>
        <w:ind w:left="1080" w:hanging="360"/>
      </w:pPr>
      <w:rPr>
        <w:rFonts w:ascii="Symbol" w:hAnsi="Symbol"/>
      </w:rPr>
    </w:lvl>
  </w:abstractNum>
  <w:abstractNum w:abstractNumId="11" w15:restartNumberingAfterBreak="0">
    <w:nsid w:val="1B3D2335"/>
    <w:multiLevelType w:val="multilevel"/>
    <w:tmpl w:val="DB3072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1F855786"/>
    <w:multiLevelType w:val="multilevel"/>
    <w:tmpl w:val="EBE4146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202B537D"/>
    <w:multiLevelType w:val="multilevel"/>
    <w:tmpl w:val="384AF2F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209F3273"/>
    <w:multiLevelType w:val="multilevel"/>
    <w:tmpl w:val="31026F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20FB72DF"/>
    <w:multiLevelType w:val="multilevel"/>
    <w:tmpl w:val="2A50C26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23B217D7"/>
    <w:multiLevelType w:val="multilevel"/>
    <w:tmpl w:val="970E8F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2479716D"/>
    <w:multiLevelType w:val="multilevel"/>
    <w:tmpl w:val="577CA9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287133C6"/>
    <w:multiLevelType w:val="multilevel"/>
    <w:tmpl w:val="DCEA7B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2C64443A"/>
    <w:multiLevelType w:val="multilevel"/>
    <w:tmpl w:val="6A9AF4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2CCF3715"/>
    <w:multiLevelType w:val="multilevel"/>
    <w:tmpl w:val="BC72068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2CF57F46"/>
    <w:multiLevelType w:val="multilevel"/>
    <w:tmpl w:val="F2A6768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2D0A0B74"/>
    <w:multiLevelType w:val="multilevel"/>
    <w:tmpl w:val="1BDACD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2E8A28E1"/>
    <w:multiLevelType w:val="multilevel"/>
    <w:tmpl w:val="DB2CCF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2F6316FC"/>
    <w:multiLevelType w:val="multilevel"/>
    <w:tmpl w:val="D5328C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3130398F"/>
    <w:multiLevelType w:val="multilevel"/>
    <w:tmpl w:val="D70C91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32E23BFC"/>
    <w:multiLevelType w:val="multilevel"/>
    <w:tmpl w:val="0292D1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33451F83"/>
    <w:multiLevelType w:val="multilevel"/>
    <w:tmpl w:val="54688A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33EB6A70"/>
    <w:multiLevelType w:val="multilevel"/>
    <w:tmpl w:val="2D42C7A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34CB0FDC"/>
    <w:multiLevelType w:val="multilevel"/>
    <w:tmpl w:val="2B2A79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15:restartNumberingAfterBreak="0">
    <w:nsid w:val="35814E3E"/>
    <w:multiLevelType w:val="multilevel"/>
    <w:tmpl w:val="D17C42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15:restartNumberingAfterBreak="0">
    <w:nsid w:val="3A506171"/>
    <w:multiLevelType w:val="multilevel"/>
    <w:tmpl w:val="FED26D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15:restartNumberingAfterBreak="0">
    <w:nsid w:val="40F07BF8"/>
    <w:multiLevelType w:val="multilevel"/>
    <w:tmpl w:val="49024B4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15:restartNumberingAfterBreak="0">
    <w:nsid w:val="424D5816"/>
    <w:multiLevelType w:val="multilevel"/>
    <w:tmpl w:val="2A404FC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15:restartNumberingAfterBreak="0">
    <w:nsid w:val="42631E64"/>
    <w:multiLevelType w:val="multilevel"/>
    <w:tmpl w:val="486E06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15:restartNumberingAfterBreak="0">
    <w:nsid w:val="43CB075B"/>
    <w:multiLevelType w:val="multilevel"/>
    <w:tmpl w:val="A2CCF5D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15:restartNumberingAfterBreak="0">
    <w:nsid w:val="44E83E51"/>
    <w:multiLevelType w:val="multilevel"/>
    <w:tmpl w:val="D1227F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15:restartNumberingAfterBreak="0">
    <w:nsid w:val="45602C2A"/>
    <w:multiLevelType w:val="multilevel"/>
    <w:tmpl w:val="E6EC8C8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15:restartNumberingAfterBreak="0">
    <w:nsid w:val="470D0F8B"/>
    <w:multiLevelType w:val="multilevel"/>
    <w:tmpl w:val="041CFA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 w15:restartNumberingAfterBreak="0">
    <w:nsid w:val="4CB321EF"/>
    <w:multiLevelType w:val="multilevel"/>
    <w:tmpl w:val="EBE202C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 w15:restartNumberingAfterBreak="0">
    <w:nsid w:val="4EA546C0"/>
    <w:multiLevelType w:val="multilevel"/>
    <w:tmpl w:val="ECA2888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1" w15:restartNumberingAfterBreak="0">
    <w:nsid w:val="50C5590C"/>
    <w:multiLevelType w:val="multilevel"/>
    <w:tmpl w:val="AE5A34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2" w15:restartNumberingAfterBreak="0">
    <w:nsid w:val="5267715C"/>
    <w:multiLevelType w:val="multilevel"/>
    <w:tmpl w:val="614AEE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3" w15:restartNumberingAfterBreak="0">
    <w:nsid w:val="52CF03BF"/>
    <w:multiLevelType w:val="multilevel"/>
    <w:tmpl w:val="B406FF4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4" w15:restartNumberingAfterBreak="0">
    <w:nsid w:val="56C21704"/>
    <w:multiLevelType w:val="multilevel"/>
    <w:tmpl w:val="6B4480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5" w15:restartNumberingAfterBreak="0">
    <w:nsid w:val="58F57456"/>
    <w:multiLevelType w:val="multilevel"/>
    <w:tmpl w:val="CF600A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6" w15:restartNumberingAfterBreak="0">
    <w:nsid w:val="5B91149D"/>
    <w:multiLevelType w:val="multilevel"/>
    <w:tmpl w:val="1A1867D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7" w15:restartNumberingAfterBreak="0">
    <w:nsid w:val="5C5913FD"/>
    <w:multiLevelType w:val="hybridMultilevel"/>
    <w:tmpl w:val="E4C04D16"/>
    <w:lvl w:ilvl="0" w:tplc="1CF8CF80">
      <w:start w:val="1"/>
      <w:numFmt w:val="bullet"/>
      <w:pStyle w:val="DMUBulletedItem"/>
      <w:lvlText w:val=""/>
      <w:lvlJc w:val="left"/>
      <w:pPr>
        <w:ind w:left="3240" w:hanging="360"/>
      </w:pPr>
      <w:rPr>
        <w:rFonts w:ascii="Symbol" w:hAnsi="Symbol" w:hint="default"/>
      </w:rPr>
    </w:lvl>
    <w:lvl w:ilvl="1" w:tplc="04090003" w:tentative="1">
      <w:start w:val="1"/>
      <w:numFmt w:val="bullet"/>
      <w:lvlText w:val="o"/>
      <w:lvlJc w:val="left"/>
      <w:pPr>
        <w:ind w:left="3960" w:hanging="360"/>
      </w:pPr>
      <w:rPr>
        <w:rFonts w:ascii="Courier New" w:hAnsi="Courier New" w:cs="Courier New" w:hint="default"/>
      </w:rPr>
    </w:lvl>
    <w:lvl w:ilvl="2" w:tplc="04090005" w:tentative="1">
      <w:start w:val="1"/>
      <w:numFmt w:val="bullet"/>
      <w:lvlText w:val=""/>
      <w:lvlJc w:val="left"/>
      <w:pPr>
        <w:ind w:left="4680" w:hanging="360"/>
      </w:pPr>
      <w:rPr>
        <w:rFonts w:ascii="Wingdings" w:hAnsi="Wingdings" w:hint="default"/>
      </w:rPr>
    </w:lvl>
    <w:lvl w:ilvl="3" w:tplc="04090001" w:tentative="1">
      <w:start w:val="1"/>
      <w:numFmt w:val="bullet"/>
      <w:lvlText w:val=""/>
      <w:lvlJc w:val="left"/>
      <w:pPr>
        <w:ind w:left="5400" w:hanging="360"/>
      </w:pPr>
      <w:rPr>
        <w:rFonts w:ascii="Symbol" w:hAnsi="Symbol" w:hint="default"/>
      </w:rPr>
    </w:lvl>
    <w:lvl w:ilvl="4" w:tplc="04090003" w:tentative="1">
      <w:start w:val="1"/>
      <w:numFmt w:val="bullet"/>
      <w:lvlText w:val="o"/>
      <w:lvlJc w:val="left"/>
      <w:pPr>
        <w:ind w:left="6120" w:hanging="360"/>
      </w:pPr>
      <w:rPr>
        <w:rFonts w:ascii="Courier New" w:hAnsi="Courier New" w:cs="Courier New" w:hint="default"/>
      </w:rPr>
    </w:lvl>
    <w:lvl w:ilvl="5" w:tplc="04090005" w:tentative="1">
      <w:start w:val="1"/>
      <w:numFmt w:val="bullet"/>
      <w:lvlText w:val=""/>
      <w:lvlJc w:val="left"/>
      <w:pPr>
        <w:ind w:left="6840" w:hanging="360"/>
      </w:pPr>
      <w:rPr>
        <w:rFonts w:ascii="Wingdings" w:hAnsi="Wingdings" w:hint="default"/>
      </w:rPr>
    </w:lvl>
    <w:lvl w:ilvl="6" w:tplc="04090001" w:tentative="1">
      <w:start w:val="1"/>
      <w:numFmt w:val="bullet"/>
      <w:lvlText w:val=""/>
      <w:lvlJc w:val="left"/>
      <w:pPr>
        <w:ind w:left="7560" w:hanging="360"/>
      </w:pPr>
      <w:rPr>
        <w:rFonts w:ascii="Symbol" w:hAnsi="Symbol" w:hint="default"/>
      </w:rPr>
    </w:lvl>
    <w:lvl w:ilvl="7" w:tplc="04090003" w:tentative="1">
      <w:start w:val="1"/>
      <w:numFmt w:val="bullet"/>
      <w:lvlText w:val="o"/>
      <w:lvlJc w:val="left"/>
      <w:pPr>
        <w:ind w:left="8280" w:hanging="360"/>
      </w:pPr>
      <w:rPr>
        <w:rFonts w:ascii="Courier New" w:hAnsi="Courier New" w:cs="Courier New" w:hint="default"/>
      </w:rPr>
    </w:lvl>
    <w:lvl w:ilvl="8" w:tplc="04090005" w:tentative="1">
      <w:start w:val="1"/>
      <w:numFmt w:val="bullet"/>
      <w:lvlText w:val=""/>
      <w:lvlJc w:val="left"/>
      <w:pPr>
        <w:ind w:left="9000" w:hanging="360"/>
      </w:pPr>
      <w:rPr>
        <w:rFonts w:ascii="Wingdings" w:hAnsi="Wingdings" w:hint="default"/>
      </w:rPr>
    </w:lvl>
  </w:abstractNum>
  <w:abstractNum w:abstractNumId="48" w15:restartNumberingAfterBreak="0">
    <w:nsid w:val="5E3D1A85"/>
    <w:multiLevelType w:val="multilevel"/>
    <w:tmpl w:val="2B8AD1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9" w15:restartNumberingAfterBreak="0">
    <w:nsid w:val="5E792552"/>
    <w:multiLevelType w:val="multilevel"/>
    <w:tmpl w:val="F26A5A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0" w15:restartNumberingAfterBreak="0">
    <w:nsid w:val="5F575199"/>
    <w:multiLevelType w:val="multilevel"/>
    <w:tmpl w:val="5260A88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1" w15:restartNumberingAfterBreak="0">
    <w:nsid w:val="63655A15"/>
    <w:multiLevelType w:val="multilevel"/>
    <w:tmpl w:val="65109F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2" w15:restartNumberingAfterBreak="0">
    <w:nsid w:val="63C30676"/>
    <w:multiLevelType w:val="multilevel"/>
    <w:tmpl w:val="4064B5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3" w15:restartNumberingAfterBreak="0">
    <w:nsid w:val="65E70AD6"/>
    <w:multiLevelType w:val="multilevel"/>
    <w:tmpl w:val="E2AEEC2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4" w15:restartNumberingAfterBreak="0">
    <w:nsid w:val="662E5115"/>
    <w:multiLevelType w:val="multilevel"/>
    <w:tmpl w:val="D3A29E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5" w15:restartNumberingAfterBreak="0">
    <w:nsid w:val="680D7845"/>
    <w:multiLevelType w:val="multilevel"/>
    <w:tmpl w:val="9624603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6" w15:restartNumberingAfterBreak="0">
    <w:nsid w:val="68D9184F"/>
    <w:multiLevelType w:val="multilevel"/>
    <w:tmpl w:val="86840F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7" w15:restartNumberingAfterBreak="0">
    <w:nsid w:val="6AA935BD"/>
    <w:multiLevelType w:val="multilevel"/>
    <w:tmpl w:val="AE3CE5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8" w15:restartNumberingAfterBreak="0">
    <w:nsid w:val="6AB43B28"/>
    <w:multiLevelType w:val="multilevel"/>
    <w:tmpl w:val="7DF6C2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9" w15:restartNumberingAfterBreak="0">
    <w:nsid w:val="6BE04564"/>
    <w:multiLevelType w:val="multilevel"/>
    <w:tmpl w:val="9E6E73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0" w15:restartNumberingAfterBreak="0">
    <w:nsid w:val="6E0A3529"/>
    <w:multiLevelType w:val="multilevel"/>
    <w:tmpl w:val="6C4C2C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1" w15:restartNumberingAfterBreak="0">
    <w:nsid w:val="725D3453"/>
    <w:multiLevelType w:val="multilevel"/>
    <w:tmpl w:val="179036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2" w15:restartNumberingAfterBreak="0">
    <w:nsid w:val="74041231"/>
    <w:multiLevelType w:val="multilevel"/>
    <w:tmpl w:val="0FBE6E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3" w15:restartNumberingAfterBreak="0">
    <w:nsid w:val="76D63F95"/>
    <w:multiLevelType w:val="multilevel"/>
    <w:tmpl w:val="E14A61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4" w15:restartNumberingAfterBreak="0">
    <w:nsid w:val="772E613A"/>
    <w:multiLevelType w:val="multilevel"/>
    <w:tmpl w:val="742075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5" w15:restartNumberingAfterBreak="0">
    <w:nsid w:val="77BC2FE2"/>
    <w:multiLevelType w:val="multilevel"/>
    <w:tmpl w:val="4E0C99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6" w15:restartNumberingAfterBreak="0">
    <w:nsid w:val="78872DFF"/>
    <w:multiLevelType w:val="multilevel"/>
    <w:tmpl w:val="76B09E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7" w15:restartNumberingAfterBreak="0">
    <w:nsid w:val="7CD012BE"/>
    <w:multiLevelType w:val="multilevel"/>
    <w:tmpl w:val="7BA007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8" w15:restartNumberingAfterBreak="0">
    <w:nsid w:val="7D5C7CA8"/>
    <w:multiLevelType w:val="multilevel"/>
    <w:tmpl w:val="35929C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145364658">
    <w:abstractNumId w:val="47"/>
  </w:num>
  <w:num w:numId="2" w16cid:durableId="229926101">
    <w:abstractNumId w:val="3"/>
  </w:num>
  <w:num w:numId="3" w16cid:durableId="491914201">
    <w:abstractNumId w:val="0"/>
  </w:num>
  <w:num w:numId="4" w16cid:durableId="1393505930">
    <w:abstractNumId w:val="10"/>
  </w:num>
  <w:num w:numId="5" w16cid:durableId="2021151648">
    <w:abstractNumId w:val="2"/>
  </w:num>
  <w:num w:numId="6" w16cid:durableId="1120760415">
    <w:abstractNumId w:val="21"/>
  </w:num>
  <w:num w:numId="7" w16cid:durableId="1290358476">
    <w:abstractNumId w:val="56"/>
  </w:num>
  <w:num w:numId="8" w16cid:durableId="1631863692">
    <w:abstractNumId w:val="11"/>
  </w:num>
  <w:num w:numId="9" w16cid:durableId="378747203">
    <w:abstractNumId w:val="20"/>
  </w:num>
  <w:num w:numId="10" w16cid:durableId="1493061939">
    <w:abstractNumId w:val="8"/>
  </w:num>
  <w:num w:numId="11" w16cid:durableId="117115735">
    <w:abstractNumId w:val="54"/>
  </w:num>
  <w:num w:numId="12" w16cid:durableId="493375375">
    <w:abstractNumId w:val="29"/>
  </w:num>
  <w:num w:numId="13" w16cid:durableId="2027057870">
    <w:abstractNumId w:val="24"/>
  </w:num>
  <w:num w:numId="14" w16cid:durableId="761797214">
    <w:abstractNumId w:val="61"/>
  </w:num>
  <w:num w:numId="15" w16cid:durableId="1010572477">
    <w:abstractNumId w:val="12"/>
  </w:num>
  <w:num w:numId="16" w16cid:durableId="483550763">
    <w:abstractNumId w:val="45"/>
  </w:num>
  <w:num w:numId="17" w16cid:durableId="1279990112">
    <w:abstractNumId w:val="33"/>
  </w:num>
  <w:num w:numId="18" w16cid:durableId="1224415430">
    <w:abstractNumId w:val="62"/>
  </w:num>
  <w:num w:numId="19" w16cid:durableId="467011876">
    <w:abstractNumId w:val="31"/>
  </w:num>
  <w:num w:numId="20" w16cid:durableId="731200795">
    <w:abstractNumId w:val="49"/>
  </w:num>
  <w:num w:numId="21" w16cid:durableId="570426098">
    <w:abstractNumId w:val="55"/>
  </w:num>
  <w:num w:numId="22" w16cid:durableId="1225681170">
    <w:abstractNumId w:val="26"/>
  </w:num>
  <w:num w:numId="23" w16cid:durableId="1389766714">
    <w:abstractNumId w:val="48"/>
  </w:num>
  <w:num w:numId="24" w16cid:durableId="1470973927">
    <w:abstractNumId w:val="37"/>
  </w:num>
  <w:num w:numId="25" w16cid:durableId="1022363200">
    <w:abstractNumId w:val="25"/>
  </w:num>
  <w:num w:numId="26" w16cid:durableId="2130052341">
    <w:abstractNumId w:val="32"/>
  </w:num>
  <w:num w:numId="27" w16cid:durableId="453598527">
    <w:abstractNumId w:val="42"/>
  </w:num>
  <w:num w:numId="28" w16cid:durableId="571741971">
    <w:abstractNumId w:val="1"/>
  </w:num>
  <w:num w:numId="29" w16cid:durableId="607347336">
    <w:abstractNumId w:val="18"/>
  </w:num>
  <w:num w:numId="30" w16cid:durableId="882056235">
    <w:abstractNumId w:val="66"/>
  </w:num>
  <w:num w:numId="31" w16cid:durableId="1961717847">
    <w:abstractNumId w:val="9"/>
  </w:num>
  <w:num w:numId="32" w16cid:durableId="1193299074">
    <w:abstractNumId w:val="5"/>
  </w:num>
  <w:num w:numId="33" w16cid:durableId="921260713">
    <w:abstractNumId w:val="68"/>
  </w:num>
  <w:num w:numId="34" w16cid:durableId="1416970835">
    <w:abstractNumId w:val="63"/>
  </w:num>
  <w:num w:numId="35" w16cid:durableId="692458062">
    <w:abstractNumId w:val="51"/>
  </w:num>
  <w:num w:numId="36" w16cid:durableId="2081560951">
    <w:abstractNumId w:val="40"/>
  </w:num>
  <w:num w:numId="37" w16cid:durableId="1665477879">
    <w:abstractNumId w:val="58"/>
  </w:num>
  <w:num w:numId="38" w16cid:durableId="381294649">
    <w:abstractNumId w:val="27"/>
  </w:num>
  <w:num w:numId="39" w16cid:durableId="1977761497">
    <w:abstractNumId w:val="65"/>
  </w:num>
  <w:num w:numId="40" w16cid:durableId="416096587">
    <w:abstractNumId w:val="44"/>
  </w:num>
  <w:num w:numId="41" w16cid:durableId="1589457543">
    <w:abstractNumId w:val="17"/>
  </w:num>
  <w:num w:numId="42" w16cid:durableId="844129761">
    <w:abstractNumId w:val="38"/>
  </w:num>
  <w:num w:numId="43" w16cid:durableId="1586381590">
    <w:abstractNumId w:val="23"/>
  </w:num>
  <w:num w:numId="44" w16cid:durableId="100882541">
    <w:abstractNumId w:val="7"/>
  </w:num>
  <w:num w:numId="45" w16cid:durableId="216013150">
    <w:abstractNumId w:val="28"/>
  </w:num>
  <w:num w:numId="46" w16cid:durableId="2709086">
    <w:abstractNumId w:val="52"/>
  </w:num>
  <w:num w:numId="47" w16cid:durableId="394009595">
    <w:abstractNumId w:val="43"/>
  </w:num>
  <w:num w:numId="48" w16cid:durableId="1410079661">
    <w:abstractNumId w:val="50"/>
  </w:num>
  <w:num w:numId="49" w16cid:durableId="1511678591">
    <w:abstractNumId w:val="34"/>
  </w:num>
  <w:num w:numId="50" w16cid:durableId="955600575">
    <w:abstractNumId w:val="15"/>
  </w:num>
  <w:num w:numId="51" w16cid:durableId="1987007021">
    <w:abstractNumId w:val="39"/>
  </w:num>
  <w:num w:numId="52" w16cid:durableId="987711601">
    <w:abstractNumId w:val="16"/>
  </w:num>
  <w:num w:numId="53" w16cid:durableId="1115557060">
    <w:abstractNumId w:val="59"/>
  </w:num>
  <w:num w:numId="54" w16cid:durableId="2101097410">
    <w:abstractNumId w:val="57"/>
  </w:num>
  <w:num w:numId="55" w16cid:durableId="914049961">
    <w:abstractNumId w:val="13"/>
  </w:num>
  <w:num w:numId="56" w16cid:durableId="1082065730">
    <w:abstractNumId w:val="60"/>
  </w:num>
  <w:num w:numId="57" w16cid:durableId="1816532432">
    <w:abstractNumId w:val="19"/>
  </w:num>
  <w:num w:numId="58" w16cid:durableId="831720453">
    <w:abstractNumId w:val="30"/>
  </w:num>
  <w:num w:numId="59" w16cid:durableId="637534684">
    <w:abstractNumId w:val="4"/>
  </w:num>
  <w:num w:numId="60" w16cid:durableId="1162087443">
    <w:abstractNumId w:val="41"/>
  </w:num>
  <w:num w:numId="61" w16cid:durableId="1682269483">
    <w:abstractNumId w:val="6"/>
  </w:num>
  <w:num w:numId="62" w16cid:durableId="1414667283">
    <w:abstractNumId w:val="64"/>
  </w:num>
  <w:num w:numId="63" w16cid:durableId="1345666715">
    <w:abstractNumId w:val="36"/>
  </w:num>
  <w:num w:numId="64" w16cid:durableId="429162063">
    <w:abstractNumId w:val="22"/>
  </w:num>
  <w:num w:numId="65" w16cid:durableId="2031565719">
    <w:abstractNumId w:val="35"/>
  </w:num>
  <w:num w:numId="66" w16cid:durableId="1504394913">
    <w:abstractNumId w:val="67"/>
  </w:num>
  <w:num w:numId="67" w16cid:durableId="364601827">
    <w:abstractNumId w:val="14"/>
  </w:num>
  <w:num w:numId="68" w16cid:durableId="475688577">
    <w:abstractNumId w:val="46"/>
  </w:num>
  <w:num w:numId="69" w16cid:durableId="969480846">
    <w:abstractNumId w:val="53"/>
  </w:num>
  <w:numIdMacAtCleanup w:val="6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70"/>
  <w:proofState w:spelling="clean" w:grammar="clean"/>
  <w:attachedTemplate r:id="rId1"/>
  <w:stylePaneFormatFilter w:val="1221" w:allStyles="1" w:customStyles="0" w:latentStyles="0" w:stylesInUse="0" w:headingStyles="1" w:numberingStyles="0" w:tableStyles="0" w:directFormattingOnRuns="0" w:directFormattingOnParagraphs="1" w:directFormattingOnNumbering="0" w:directFormattingOnTables="0" w:clearFormatting="1" w:top3HeadingStyles="0" w:visibleStyles="0" w:alternateStyleNames="0"/>
  <w:stylePaneSortMethod w:val="0000"/>
  <w:styleLockTheme/>
  <w:styleLockQFSet/>
  <w:defaultTabStop w:val="720"/>
  <w:characterSpacingControl w:val="doNotCompres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EN.InstantFormat" w:val="&lt;ENInstantFormat&gt;&lt;Enabled&gt;1&lt;/Enabled&gt;&lt;ScanUnformatted&gt;1&lt;/ScanUnformatted&gt;&lt;ScanChanges&gt;1&lt;/ScanChanges&gt;&lt;Suspended&gt;1&lt;/Suspended&gt;&lt;/ENInstantFormat&gt;"/>
    <w:docVar w:name="EN.Layout" w:val="&lt;ENLayout&gt;&lt;Style&gt;APA 7th&lt;/Style&gt;&lt;LeftDelim&gt;{&lt;/LeftDelim&gt;&lt;RightDelim&gt;}&lt;/RightDelim&gt;&lt;FontName&gt;Times New Roman&lt;/FontName&gt;&lt;FontSize&gt;12&lt;/FontSize&gt;&lt;ReflistTitle&gt;&lt;/ReflistTitle&gt;&lt;StartingRefnum&gt;1&lt;/StartingRefnum&gt;&lt;FirstLineIndent&gt;0&lt;/FirstLineIndent&gt;&lt;HangingIndent&gt;720&lt;/HangingIndent&gt;&lt;LineSpacing&gt;0&lt;/LineSpacing&gt;&lt;SpaceAfter&gt;0&lt;/SpaceAfter&gt;&lt;HyperlinksEnabled&gt;0&lt;/HyperlinksEnabled&gt;&lt;HyperlinksVisible&gt;0&lt;/HyperlinksVisible&gt;&lt;EnableBibliographyCategories&gt;0&lt;/EnableBibliographyCategories&gt;&lt;/ENLayout&gt;"/>
  </w:docVars>
  <w:rsids>
    <w:rsidRoot w:val="006A110F"/>
    <w:rsid w:val="00002229"/>
    <w:rsid w:val="00003864"/>
    <w:rsid w:val="000043DA"/>
    <w:rsid w:val="00004621"/>
    <w:rsid w:val="000048BF"/>
    <w:rsid w:val="00004914"/>
    <w:rsid w:val="00005931"/>
    <w:rsid w:val="00005EF5"/>
    <w:rsid w:val="00006340"/>
    <w:rsid w:val="000075ED"/>
    <w:rsid w:val="000076ED"/>
    <w:rsid w:val="00007CB0"/>
    <w:rsid w:val="000102B0"/>
    <w:rsid w:val="000109A1"/>
    <w:rsid w:val="00011162"/>
    <w:rsid w:val="00011FE5"/>
    <w:rsid w:val="000123C5"/>
    <w:rsid w:val="000126F5"/>
    <w:rsid w:val="00014E4F"/>
    <w:rsid w:val="00015131"/>
    <w:rsid w:val="0001753B"/>
    <w:rsid w:val="0001776F"/>
    <w:rsid w:val="0002042E"/>
    <w:rsid w:val="00020C71"/>
    <w:rsid w:val="0002112C"/>
    <w:rsid w:val="00021A05"/>
    <w:rsid w:val="00021A73"/>
    <w:rsid w:val="000229CF"/>
    <w:rsid w:val="00022EF8"/>
    <w:rsid w:val="00023551"/>
    <w:rsid w:val="0002415D"/>
    <w:rsid w:val="00024698"/>
    <w:rsid w:val="000251E5"/>
    <w:rsid w:val="00025438"/>
    <w:rsid w:val="00027090"/>
    <w:rsid w:val="00027505"/>
    <w:rsid w:val="000306ED"/>
    <w:rsid w:val="00030A5D"/>
    <w:rsid w:val="00030C4A"/>
    <w:rsid w:val="000310FA"/>
    <w:rsid w:val="00031147"/>
    <w:rsid w:val="000319F8"/>
    <w:rsid w:val="00033905"/>
    <w:rsid w:val="00033E32"/>
    <w:rsid w:val="00033FA7"/>
    <w:rsid w:val="000343ED"/>
    <w:rsid w:val="000344A8"/>
    <w:rsid w:val="000358F3"/>
    <w:rsid w:val="00035A31"/>
    <w:rsid w:val="000362DC"/>
    <w:rsid w:val="00036405"/>
    <w:rsid w:val="00036BA0"/>
    <w:rsid w:val="00036D79"/>
    <w:rsid w:val="00037CC1"/>
    <w:rsid w:val="00040C62"/>
    <w:rsid w:val="00041636"/>
    <w:rsid w:val="00041909"/>
    <w:rsid w:val="0004198B"/>
    <w:rsid w:val="00041AAD"/>
    <w:rsid w:val="00041BA7"/>
    <w:rsid w:val="00041C4F"/>
    <w:rsid w:val="000443BB"/>
    <w:rsid w:val="00044D28"/>
    <w:rsid w:val="000454FC"/>
    <w:rsid w:val="00045D91"/>
    <w:rsid w:val="00046424"/>
    <w:rsid w:val="00047550"/>
    <w:rsid w:val="0004776B"/>
    <w:rsid w:val="00047EC2"/>
    <w:rsid w:val="00047F89"/>
    <w:rsid w:val="0005123D"/>
    <w:rsid w:val="00051526"/>
    <w:rsid w:val="00051697"/>
    <w:rsid w:val="00051B6F"/>
    <w:rsid w:val="00051F3D"/>
    <w:rsid w:val="00052399"/>
    <w:rsid w:val="0005280F"/>
    <w:rsid w:val="0005320C"/>
    <w:rsid w:val="000532C7"/>
    <w:rsid w:val="000532EB"/>
    <w:rsid w:val="00055792"/>
    <w:rsid w:val="000558A5"/>
    <w:rsid w:val="00056EE4"/>
    <w:rsid w:val="0006028D"/>
    <w:rsid w:val="00060955"/>
    <w:rsid w:val="00061B1B"/>
    <w:rsid w:val="00061E96"/>
    <w:rsid w:val="0006275E"/>
    <w:rsid w:val="000633FA"/>
    <w:rsid w:val="00063709"/>
    <w:rsid w:val="00064FE3"/>
    <w:rsid w:val="00065379"/>
    <w:rsid w:val="00065618"/>
    <w:rsid w:val="000656E0"/>
    <w:rsid w:val="00065E7B"/>
    <w:rsid w:val="000672F6"/>
    <w:rsid w:val="000674FA"/>
    <w:rsid w:val="00067BAB"/>
    <w:rsid w:val="000705F3"/>
    <w:rsid w:val="00070CAA"/>
    <w:rsid w:val="000710A4"/>
    <w:rsid w:val="0007129E"/>
    <w:rsid w:val="000729DE"/>
    <w:rsid w:val="00072B88"/>
    <w:rsid w:val="00072F96"/>
    <w:rsid w:val="000739AB"/>
    <w:rsid w:val="00073B82"/>
    <w:rsid w:val="00073BB1"/>
    <w:rsid w:val="000746B6"/>
    <w:rsid w:val="00074954"/>
    <w:rsid w:val="000750AD"/>
    <w:rsid w:val="00075A2F"/>
    <w:rsid w:val="00077CF2"/>
    <w:rsid w:val="000809B1"/>
    <w:rsid w:val="00081014"/>
    <w:rsid w:val="000819A7"/>
    <w:rsid w:val="00081EB3"/>
    <w:rsid w:val="0008223D"/>
    <w:rsid w:val="000838A7"/>
    <w:rsid w:val="00083F46"/>
    <w:rsid w:val="000841B4"/>
    <w:rsid w:val="000845B8"/>
    <w:rsid w:val="0008476F"/>
    <w:rsid w:val="00085925"/>
    <w:rsid w:val="00085E29"/>
    <w:rsid w:val="00086FB5"/>
    <w:rsid w:val="00087533"/>
    <w:rsid w:val="00087FCE"/>
    <w:rsid w:val="00090CF0"/>
    <w:rsid w:val="000921C7"/>
    <w:rsid w:val="00092373"/>
    <w:rsid w:val="000939B7"/>
    <w:rsid w:val="00093CFD"/>
    <w:rsid w:val="000943A7"/>
    <w:rsid w:val="00094B11"/>
    <w:rsid w:val="00094C28"/>
    <w:rsid w:val="00095375"/>
    <w:rsid w:val="00095E42"/>
    <w:rsid w:val="00096574"/>
    <w:rsid w:val="000967F4"/>
    <w:rsid w:val="00096D81"/>
    <w:rsid w:val="00096EA6"/>
    <w:rsid w:val="000976CC"/>
    <w:rsid w:val="00097757"/>
    <w:rsid w:val="00097931"/>
    <w:rsid w:val="000A026E"/>
    <w:rsid w:val="000A0895"/>
    <w:rsid w:val="000A0AD8"/>
    <w:rsid w:val="000A1AD6"/>
    <w:rsid w:val="000A1DAB"/>
    <w:rsid w:val="000A1F1E"/>
    <w:rsid w:val="000A2909"/>
    <w:rsid w:val="000A2BF5"/>
    <w:rsid w:val="000A40DB"/>
    <w:rsid w:val="000A5F43"/>
    <w:rsid w:val="000A6A83"/>
    <w:rsid w:val="000B0917"/>
    <w:rsid w:val="000B1F1A"/>
    <w:rsid w:val="000B2A89"/>
    <w:rsid w:val="000B43AC"/>
    <w:rsid w:val="000B50F7"/>
    <w:rsid w:val="000B51DF"/>
    <w:rsid w:val="000B5487"/>
    <w:rsid w:val="000B5499"/>
    <w:rsid w:val="000B578B"/>
    <w:rsid w:val="000B58BA"/>
    <w:rsid w:val="000C35E6"/>
    <w:rsid w:val="000C423E"/>
    <w:rsid w:val="000C4B54"/>
    <w:rsid w:val="000C4DAB"/>
    <w:rsid w:val="000C5131"/>
    <w:rsid w:val="000C5E9E"/>
    <w:rsid w:val="000C6048"/>
    <w:rsid w:val="000C6DB1"/>
    <w:rsid w:val="000C735C"/>
    <w:rsid w:val="000C79D2"/>
    <w:rsid w:val="000D076D"/>
    <w:rsid w:val="000D0B6C"/>
    <w:rsid w:val="000D1398"/>
    <w:rsid w:val="000D1F2C"/>
    <w:rsid w:val="000D1F72"/>
    <w:rsid w:val="000D21D7"/>
    <w:rsid w:val="000D2453"/>
    <w:rsid w:val="000D47AC"/>
    <w:rsid w:val="000D5DDB"/>
    <w:rsid w:val="000D61A4"/>
    <w:rsid w:val="000D6333"/>
    <w:rsid w:val="000D6655"/>
    <w:rsid w:val="000D7421"/>
    <w:rsid w:val="000D7BA0"/>
    <w:rsid w:val="000E02EB"/>
    <w:rsid w:val="000E11E3"/>
    <w:rsid w:val="000E12B4"/>
    <w:rsid w:val="000E1DD7"/>
    <w:rsid w:val="000E2067"/>
    <w:rsid w:val="000E2552"/>
    <w:rsid w:val="000E2ADF"/>
    <w:rsid w:val="000E3E7B"/>
    <w:rsid w:val="000E4841"/>
    <w:rsid w:val="000E4CDB"/>
    <w:rsid w:val="000E50EE"/>
    <w:rsid w:val="000F006C"/>
    <w:rsid w:val="000F0539"/>
    <w:rsid w:val="000F0DBA"/>
    <w:rsid w:val="000F1578"/>
    <w:rsid w:val="000F15FC"/>
    <w:rsid w:val="000F1EF0"/>
    <w:rsid w:val="000F26DB"/>
    <w:rsid w:val="000F3AEC"/>
    <w:rsid w:val="000F46E9"/>
    <w:rsid w:val="000F4D13"/>
    <w:rsid w:val="000F5A20"/>
    <w:rsid w:val="000F5DAF"/>
    <w:rsid w:val="000F6005"/>
    <w:rsid w:val="000F6141"/>
    <w:rsid w:val="000F6534"/>
    <w:rsid w:val="000F7CAE"/>
    <w:rsid w:val="00100F7A"/>
    <w:rsid w:val="0010140A"/>
    <w:rsid w:val="00101421"/>
    <w:rsid w:val="00101747"/>
    <w:rsid w:val="0010382A"/>
    <w:rsid w:val="001038CF"/>
    <w:rsid w:val="001049CA"/>
    <w:rsid w:val="00104FDE"/>
    <w:rsid w:val="001057E6"/>
    <w:rsid w:val="00105F25"/>
    <w:rsid w:val="0010624E"/>
    <w:rsid w:val="001063F2"/>
    <w:rsid w:val="0010647C"/>
    <w:rsid w:val="00106750"/>
    <w:rsid w:val="00107804"/>
    <w:rsid w:val="0011031B"/>
    <w:rsid w:val="001106C2"/>
    <w:rsid w:val="00110F85"/>
    <w:rsid w:val="00111677"/>
    <w:rsid w:val="00111DEC"/>
    <w:rsid w:val="001124FF"/>
    <w:rsid w:val="00113609"/>
    <w:rsid w:val="00114346"/>
    <w:rsid w:val="00114645"/>
    <w:rsid w:val="00115EFC"/>
    <w:rsid w:val="00116282"/>
    <w:rsid w:val="00116588"/>
    <w:rsid w:val="00117BE9"/>
    <w:rsid w:val="0012121F"/>
    <w:rsid w:val="001218BA"/>
    <w:rsid w:val="00121941"/>
    <w:rsid w:val="0012360A"/>
    <w:rsid w:val="00123CC9"/>
    <w:rsid w:val="00123D82"/>
    <w:rsid w:val="0012413E"/>
    <w:rsid w:val="001251BC"/>
    <w:rsid w:val="00125440"/>
    <w:rsid w:val="00125492"/>
    <w:rsid w:val="00125840"/>
    <w:rsid w:val="00125998"/>
    <w:rsid w:val="00125CF3"/>
    <w:rsid w:val="00125EA6"/>
    <w:rsid w:val="00126261"/>
    <w:rsid w:val="00126B04"/>
    <w:rsid w:val="00127089"/>
    <w:rsid w:val="0012762A"/>
    <w:rsid w:val="0012778C"/>
    <w:rsid w:val="00127EB0"/>
    <w:rsid w:val="00127F1A"/>
    <w:rsid w:val="00130455"/>
    <w:rsid w:val="00134340"/>
    <w:rsid w:val="0013443A"/>
    <w:rsid w:val="00134D47"/>
    <w:rsid w:val="00135A6A"/>
    <w:rsid w:val="00135C91"/>
    <w:rsid w:val="00135D59"/>
    <w:rsid w:val="0013641D"/>
    <w:rsid w:val="0013644C"/>
    <w:rsid w:val="0013689D"/>
    <w:rsid w:val="0013700C"/>
    <w:rsid w:val="00137BD2"/>
    <w:rsid w:val="00137C3C"/>
    <w:rsid w:val="00140690"/>
    <w:rsid w:val="00141085"/>
    <w:rsid w:val="001414B1"/>
    <w:rsid w:val="00142250"/>
    <w:rsid w:val="00143020"/>
    <w:rsid w:val="001436F1"/>
    <w:rsid w:val="00143A8A"/>
    <w:rsid w:val="0014420F"/>
    <w:rsid w:val="001444FF"/>
    <w:rsid w:val="00144922"/>
    <w:rsid w:val="00144B74"/>
    <w:rsid w:val="0014593C"/>
    <w:rsid w:val="001465B7"/>
    <w:rsid w:val="001466DE"/>
    <w:rsid w:val="00150496"/>
    <w:rsid w:val="001508F9"/>
    <w:rsid w:val="001514DE"/>
    <w:rsid w:val="00151869"/>
    <w:rsid w:val="00151CAD"/>
    <w:rsid w:val="001520CA"/>
    <w:rsid w:val="001524E4"/>
    <w:rsid w:val="00153862"/>
    <w:rsid w:val="00154969"/>
    <w:rsid w:val="00155B44"/>
    <w:rsid w:val="00156AFA"/>
    <w:rsid w:val="00157414"/>
    <w:rsid w:val="00160D53"/>
    <w:rsid w:val="00160F2F"/>
    <w:rsid w:val="00160F48"/>
    <w:rsid w:val="0016103F"/>
    <w:rsid w:val="0016180A"/>
    <w:rsid w:val="00162AAC"/>
    <w:rsid w:val="00163E46"/>
    <w:rsid w:val="001645A6"/>
    <w:rsid w:val="00164D35"/>
    <w:rsid w:val="00165D44"/>
    <w:rsid w:val="00165FE7"/>
    <w:rsid w:val="00167594"/>
    <w:rsid w:val="00167654"/>
    <w:rsid w:val="001716E7"/>
    <w:rsid w:val="00171C19"/>
    <w:rsid w:val="00171CE0"/>
    <w:rsid w:val="001727DC"/>
    <w:rsid w:val="00172D37"/>
    <w:rsid w:val="00172F48"/>
    <w:rsid w:val="0017337F"/>
    <w:rsid w:val="00173C86"/>
    <w:rsid w:val="001740CE"/>
    <w:rsid w:val="00174932"/>
    <w:rsid w:val="001752D2"/>
    <w:rsid w:val="00175435"/>
    <w:rsid w:val="0017565D"/>
    <w:rsid w:val="00175F61"/>
    <w:rsid w:val="001762E7"/>
    <w:rsid w:val="0017690B"/>
    <w:rsid w:val="00176CA2"/>
    <w:rsid w:val="0018065D"/>
    <w:rsid w:val="00180F03"/>
    <w:rsid w:val="00180F04"/>
    <w:rsid w:val="00181177"/>
    <w:rsid w:val="00181410"/>
    <w:rsid w:val="00181AEB"/>
    <w:rsid w:val="00181EE1"/>
    <w:rsid w:val="00182442"/>
    <w:rsid w:val="0018292C"/>
    <w:rsid w:val="00182BFF"/>
    <w:rsid w:val="00183506"/>
    <w:rsid w:val="00183B69"/>
    <w:rsid w:val="0018417B"/>
    <w:rsid w:val="00185249"/>
    <w:rsid w:val="00185822"/>
    <w:rsid w:val="00186303"/>
    <w:rsid w:val="00186D14"/>
    <w:rsid w:val="00187B58"/>
    <w:rsid w:val="00187BE5"/>
    <w:rsid w:val="00187F3F"/>
    <w:rsid w:val="0019010C"/>
    <w:rsid w:val="00190615"/>
    <w:rsid w:val="001908DC"/>
    <w:rsid w:val="0019111D"/>
    <w:rsid w:val="00192554"/>
    <w:rsid w:val="00192704"/>
    <w:rsid w:val="00192CBF"/>
    <w:rsid w:val="00192E44"/>
    <w:rsid w:val="00192F70"/>
    <w:rsid w:val="001930A7"/>
    <w:rsid w:val="001933AA"/>
    <w:rsid w:val="001936E2"/>
    <w:rsid w:val="00193CA3"/>
    <w:rsid w:val="001942F9"/>
    <w:rsid w:val="00194E5E"/>
    <w:rsid w:val="00194EAC"/>
    <w:rsid w:val="001A0774"/>
    <w:rsid w:val="001A08C2"/>
    <w:rsid w:val="001A0906"/>
    <w:rsid w:val="001A0CBB"/>
    <w:rsid w:val="001A0E43"/>
    <w:rsid w:val="001A179E"/>
    <w:rsid w:val="001A17D0"/>
    <w:rsid w:val="001A1B84"/>
    <w:rsid w:val="001A3CB7"/>
    <w:rsid w:val="001A52AE"/>
    <w:rsid w:val="001A5555"/>
    <w:rsid w:val="001A5A5B"/>
    <w:rsid w:val="001A6A27"/>
    <w:rsid w:val="001B0120"/>
    <w:rsid w:val="001B0198"/>
    <w:rsid w:val="001B05AD"/>
    <w:rsid w:val="001B1E01"/>
    <w:rsid w:val="001B2584"/>
    <w:rsid w:val="001B2DB4"/>
    <w:rsid w:val="001B2F28"/>
    <w:rsid w:val="001B4A59"/>
    <w:rsid w:val="001B51F6"/>
    <w:rsid w:val="001B5653"/>
    <w:rsid w:val="001B5B87"/>
    <w:rsid w:val="001B5C36"/>
    <w:rsid w:val="001B5CAC"/>
    <w:rsid w:val="001B6ACC"/>
    <w:rsid w:val="001B6FBB"/>
    <w:rsid w:val="001B7861"/>
    <w:rsid w:val="001B7A16"/>
    <w:rsid w:val="001C0767"/>
    <w:rsid w:val="001C0D1F"/>
    <w:rsid w:val="001C1910"/>
    <w:rsid w:val="001C3A08"/>
    <w:rsid w:val="001C3C18"/>
    <w:rsid w:val="001C428F"/>
    <w:rsid w:val="001C4756"/>
    <w:rsid w:val="001C4BB1"/>
    <w:rsid w:val="001C54B1"/>
    <w:rsid w:val="001C58DF"/>
    <w:rsid w:val="001C644A"/>
    <w:rsid w:val="001C65EF"/>
    <w:rsid w:val="001C66BF"/>
    <w:rsid w:val="001C6FF3"/>
    <w:rsid w:val="001C72B2"/>
    <w:rsid w:val="001C7E6F"/>
    <w:rsid w:val="001D0993"/>
    <w:rsid w:val="001D0A0F"/>
    <w:rsid w:val="001D16B3"/>
    <w:rsid w:val="001D1E05"/>
    <w:rsid w:val="001D2B99"/>
    <w:rsid w:val="001D4366"/>
    <w:rsid w:val="001D49D7"/>
    <w:rsid w:val="001D5982"/>
    <w:rsid w:val="001D6AED"/>
    <w:rsid w:val="001D6CCA"/>
    <w:rsid w:val="001D7370"/>
    <w:rsid w:val="001E08CB"/>
    <w:rsid w:val="001E17A8"/>
    <w:rsid w:val="001E183F"/>
    <w:rsid w:val="001E25C2"/>
    <w:rsid w:val="001E33C5"/>
    <w:rsid w:val="001E592A"/>
    <w:rsid w:val="001E5FFB"/>
    <w:rsid w:val="001E6ABB"/>
    <w:rsid w:val="001E6C73"/>
    <w:rsid w:val="001E7CF7"/>
    <w:rsid w:val="001E7DDB"/>
    <w:rsid w:val="001F01F9"/>
    <w:rsid w:val="001F0C17"/>
    <w:rsid w:val="001F0F68"/>
    <w:rsid w:val="001F1383"/>
    <w:rsid w:val="001F2387"/>
    <w:rsid w:val="001F28BD"/>
    <w:rsid w:val="001F2C30"/>
    <w:rsid w:val="001F2D78"/>
    <w:rsid w:val="001F3EE4"/>
    <w:rsid w:val="001F40CA"/>
    <w:rsid w:val="001F48D8"/>
    <w:rsid w:val="001F4E06"/>
    <w:rsid w:val="001F5141"/>
    <w:rsid w:val="001F545E"/>
    <w:rsid w:val="001F60EA"/>
    <w:rsid w:val="001F61E2"/>
    <w:rsid w:val="001F7908"/>
    <w:rsid w:val="001F7C5C"/>
    <w:rsid w:val="00200744"/>
    <w:rsid w:val="00201BDC"/>
    <w:rsid w:val="002035A8"/>
    <w:rsid w:val="00203691"/>
    <w:rsid w:val="002044ED"/>
    <w:rsid w:val="002045DD"/>
    <w:rsid w:val="00205B93"/>
    <w:rsid w:val="00205FA2"/>
    <w:rsid w:val="00206AF6"/>
    <w:rsid w:val="00207A07"/>
    <w:rsid w:val="00210B55"/>
    <w:rsid w:val="002111F3"/>
    <w:rsid w:val="002117F8"/>
    <w:rsid w:val="00211B11"/>
    <w:rsid w:val="00211C65"/>
    <w:rsid w:val="00213DD3"/>
    <w:rsid w:val="00214520"/>
    <w:rsid w:val="00214A67"/>
    <w:rsid w:val="0021507E"/>
    <w:rsid w:val="002151D1"/>
    <w:rsid w:val="0021572E"/>
    <w:rsid w:val="00215B38"/>
    <w:rsid w:val="00216DE3"/>
    <w:rsid w:val="00217160"/>
    <w:rsid w:val="0021762E"/>
    <w:rsid w:val="00217D0E"/>
    <w:rsid w:val="00217DC5"/>
    <w:rsid w:val="00220F31"/>
    <w:rsid w:val="002222DD"/>
    <w:rsid w:val="00223F46"/>
    <w:rsid w:val="002248F3"/>
    <w:rsid w:val="00224BF4"/>
    <w:rsid w:val="002264E5"/>
    <w:rsid w:val="00226D47"/>
    <w:rsid w:val="002301FE"/>
    <w:rsid w:val="00230A27"/>
    <w:rsid w:val="002316BB"/>
    <w:rsid w:val="00233067"/>
    <w:rsid w:val="0023405F"/>
    <w:rsid w:val="00234140"/>
    <w:rsid w:val="00234FB9"/>
    <w:rsid w:val="00235035"/>
    <w:rsid w:val="00235BC6"/>
    <w:rsid w:val="00235D37"/>
    <w:rsid w:val="00235DF8"/>
    <w:rsid w:val="002361BF"/>
    <w:rsid w:val="0023707B"/>
    <w:rsid w:val="002373F8"/>
    <w:rsid w:val="002407A9"/>
    <w:rsid w:val="002409BA"/>
    <w:rsid w:val="002409D1"/>
    <w:rsid w:val="00242666"/>
    <w:rsid w:val="00242E09"/>
    <w:rsid w:val="002437AB"/>
    <w:rsid w:val="00244816"/>
    <w:rsid w:val="00250E4D"/>
    <w:rsid w:val="00250EE3"/>
    <w:rsid w:val="002520BF"/>
    <w:rsid w:val="00252367"/>
    <w:rsid w:val="002527E3"/>
    <w:rsid w:val="002527FF"/>
    <w:rsid w:val="002530F5"/>
    <w:rsid w:val="002538B8"/>
    <w:rsid w:val="00253CB3"/>
    <w:rsid w:val="002564AE"/>
    <w:rsid w:val="002565BA"/>
    <w:rsid w:val="00256DA3"/>
    <w:rsid w:val="00260097"/>
    <w:rsid w:val="00260257"/>
    <w:rsid w:val="00260376"/>
    <w:rsid w:val="00260E3A"/>
    <w:rsid w:val="002626B0"/>
    <w:rsid w:val="0026284B"/>
    <w:rsid w:val="00262DB3"/>
    <w:rsid w:val="00263E40"/>
    <w:rsid w:val="00263E8E"/>
    <w:rsid w:val="0026497C"/>
    <w:rsid w:val="002650DB"/>
    <w:rsid w:val="002658ED"/>
    <w:rsid w:val="00267140"/>
    <w:rsid w:val="002679E2"/>
    <w:rsid w:val="00270424"/>
    <w:rsid w:val="00271056"/>
    <w:rsid w:val="0027116A"/>
    <w:rsid w:val="00271337"/>
    <w:rsid w:val="00271BE3"/>
    <w:rsid w:val="00272FE1"/>
    <w:rsid w:val="002747C8"/>
    <w:rsid w:val="0027480E"/>
    <w:rsid w:val="00274F8B"/>
    <w:rsid w:val="0027519D"/>
    <w:rsid w:val="00275359"/>
    <w:rsid w:val="00275E22"/>
    <w:rsid w:val="002762F1"/>
    <w:rsid w:val="00277557"/>
    <w:rsid w:val="00277572"/>
    <w:rsid w:val="0027774D"/>
    <w:rsid w:val="00277790"/>
    <w:rsid w:val="00277918"/>
    <w:rsid w:val="002802AF"/>
    <w:rsid w:val="00280632"/>
    <w:rsid w:val="00281478"/>
    <w:rsid w:val="00281C43"/>
    <w:rsid w:val="00281CCF"/>
    <w:rsid w:val="00282352"/>
    <w:rsid w:val="00282A3F"/>
    <w:rsid w:val="00282B63"/>
    <w:rsid w:val="00282C74"/>
    <w:rsid w:val="00283CAD"/>
    <w:rsid w:val="00284DCA"/>
    <w:rsid w:val="00285BAB"/>
    <w:rsid w:val="00286111"/>
    <w:rsid w:val="002863FC"/>
    <w:rsid w:val="00286781"/>
    <w:rsid w:val="00287933"/>
    <w:rsid w:val="00290092"/>
    <w:rsid w:val="002909E3"/>
    <w:rsid w:val="00291ACE"/>
    <w:rsid w:val="00291FE5"/>
    <w:rsid w:val="00292EB2"/>
    <w:rsid w:val="002943FF"/>
    <w:rsid w:val="002962B3"/>
    <w:rsid w:val="0029672F"/>
    <w:rsid w:val="002975EB"/>
    <w:rsid w:val="00297C59"/>
    <w:rsid w:val="002A04EF"/>
    <w:rsid w:val="002A178E"/>
    <w:rsid w:val="002A29AE"/>
    <w:rsid w:val="002A2FB4"/>
    <w:rsid w:val="002A457C"/>
    <w:rsid w:val="002A4C47"/>
    <w:rsid w:val="002A4FB0"/>
    <w:rsid w:val="002A50C1"/>
    <w:rsid w:val="002A5862"/>
    <w:rsid w:val="002A5963"/>
    <w:rsid w:val="002A7928"/>
    <w:rsid w:val="002A7CE2"/>
    <w:rsid w:val="002B03D6"/>
    <w:rsid w:val="002B0FF4"/>
    <w:rsid w:val="002B12ED"/>
    <w:rsid w:val="002B1993"/>
    <w:rsid w:val="002B28EB"/>
    <w:rsid w:val="002B3EF7"/>
    <w:rsid w:val="002B4951"/>
    <w:rsid w:val="002B4C19"/>
    <w:rsid w:val="002B559B"/>
    <w:rsid w:val="002B66B8"/>
    <w:rsid w:val="002B7C9C"/>
    <w:rsid w:val="002C09A2"/>
    <w:rsid w:val="002C118A"/>
    <w:rsid w:val="002C1751"/>
    <w:rsid w:val="002C1AD2"/>
    <w:rsid w:val="002C1CA4"/>
    <w:rsid w:val="002C31BD"/>
    <w:rsid w:val="002C33DA"/>
    <w:rsid w:val="002C3C3E"/>
    <w:rsid w:val="002C4044"/>
    <w:rsid w:val="002C46FC"/>
    <w:rsid w:val="002C4980"/>
    <w:rsid w:val="002C4FCA"/>
    <w:rsid w:val="002C5FA9"/>
    <w:rsid w:val="002C61D3"/>
    <w:rsid w:val="002C6D3E"/>
    <w:rsid w:val="002C6D8A"/>
    <w:rsid w:val="002D05CE"/>
    <w:rsid w:val="002D0726"/>
    <w:rsid w:val="002D092F"/>
    <w:rsid w:val="002D151A"/>
    <w:rsid w:val="002D2372"/>
    <w:rsid w:val="002D2843"/>
    <w:rsid w:val="002D2EAB"/>
    <w:rsid w:val="002D5146"/>
    <w:rsid w:val="002D51A5"/>
    <w:rsid w:val="002D65F2"/>
    <w:rsid w:val="002E02C6"/>
    <w:rsid w:val="002E19A4"/>
    <w:rsid w:val="002E2E3D"/>
    <w:rsid w:val="002E33E1"/>
    <w:rsid w:val="002E4346"/>
    <w:rsid w:val="002E43EE"/>
    <w:rsid w:val="002E477C"/>
    <w:rsid w:val="002E6048"/>
    <w:rsid w:val="002E61FF"/>
    <w:rsid w:val="002E6A11"/>
    <w:rsid w:val="002E7031"/>
    <w:rsid w:val="002E7EF2"/>
    <w:rsid w:val="002F12A4"/>
    <w:rsid w:val="002F17DA"/>
    <w:rsid w:val="002F3149"/>
    <w:rsid w:val="002F32C2"/>
    <w:rsid w:val="002F3AF6"/>
    <w:rsid w:val="002F4C0E"/>
    <w:rsid w:val="002F4C3D"/>
    <w:rsid w:val="002F5F39"/>
    <w:rsid w:val="002F7724"/>
    <w:rsid w:val="00300EDA"/>
    <w:rsid w:val="00301387"/>
    <w:rsid w:val="00301ADA"/>
    <w:rsid w:val="00302A26"/>
    <w:rsid w:val="00303F8F"/>
    <w:rsid w:val="0030477D"/>
    <w:rsid w:val="003047CC"/>
    <w:rsid w:val="00304BC4"/>
    <w:rsid w:val="0030556D"/>
    <w:rsid w:val="0030652C"/>
    <w:rsid w:val="003068EF"/>
    <w:rsid w:val="003101E8"/>
    <w:rsid w:val="00310839"/>
    <w:rsid w:val="0031210C"/>
    <w:rsid w:val="00313610"/>
    <w:rsid w:val="00313C19"/>
    <w:rsid w:val="00313E3E"/>
    <w:rsid w:val="003148DA"/>
    <w:rsid w:val="003153D2"/>
    <w:rsid w:val="00316F3A"/>
    <w:rsid w:val="00317073"/>
    <w:rsid w:val="00317114"/>
    <w:rsid w:val="00317A2F"/>
    <w:rsid w:val="00321504"/>
    <w:rsid w:val="00322463"/>
    <w:rsid w:val="0032352D"/>
    <w:rsid w:val="00324452"/>
    <w:rsid w:val="00324B03"/>
    <w:rsid w:val="00325983"/>
    <w:rsid w:val="00325AB3"/>
    <w:rsid w:val="00325C69"/>
    <w:rsid w:val="00325E7E"/>
    <w:rsid w:val="00326F81"/>
    <w:rsid w:val="00327A7C"/>
    <w:rsid w:val="00327FA2"/>
    <w:rsid w:val="0033154E"/>
    <w:rsid w:val="00332A06"/>
    <w:rsid w:val="00332E9E"/>
    <w:rsid w:val="003332B6"/>
    <w:rsid w:val="0033479A"/>
    <w:rsid w:val="0033484D"/>
    <w:rsid w:val="003348DB"/>
    <w:rsid w:val="003352F6"/>
    <w:rsid w:val="0033547F"/>
    <w:rsid w:val="003365A4"/>
    <w:rsid w:val="0033791B"/>
    <w:rsid w:val="00337D42"/>
    <w:rsid w:val="00340574"/>
    <w:rsid w:val="00340B7E"/>
    <w:rsid w:val="0034363B"/>
    <w:rsid w:val="003438A6"/>
    <w:rsid w:val="00343F10"/>
    <w:rsid w:val="00344036"/>
    <w:rsid w:val="003446EF"/>
    <w:rsid w:val="003458E0"/>
    <w:rsid w:val="00346168"/>
    <w:rsid w:val="0034687E"/>
    <w:rsid w:val="00347004"/>
    <w:rsid w:val="00347089"/>
    <w:rsid w:val="00350B7F"/>
    <w:rsid w:val="00350B90"/>
    <w:rsid w:val="00350C99"/>
    <w:rsid w:val="00350D58"/>
    <w:rsid w:val="003548B8"/>
    <w:rsid w:val="00354EE8"/>
    <w:rsid w:val="003560D0"/>
    <w:rsid w:val="00356FC8"/>
    <w:rsid w:val="00360FFC"/>
    <w:rsid w:val="003613C6"/>
    <w:rsid w:val="003616D7"/>
    <w:rsid w:val="003623ED"/>
    <w:rsid w:val="00363549"/>
    <w:rsid w:val="00363F48"/>
    <w:rsid w:val="00364601"/>
    <w:rsid w:val="003648AD"/>
    <w:rsid w:val="0036611C"/>
    <w:rsid w:val="0036681B"/>
    <w:rsid w:val="00366F83"/>
    <w:rsid w:val="003673EC"/>
    <w:rsid w:val="00367EF6"/>
    <w:rsid w:val="00370191"/>
    <w:rsid w:val="00371906"/>
    <w:rsid w:val="00371DCE"/>
    <w:rsid w:val="00372849"/>
    <w:rsid w:val="0037375F"/>
    <w:rsid w:val="00375189"/>
    <w:rsid w:val="003760F7"/>
    <w:rsid w:val="00377294"/>
    <w:rsid w:val="003774D9"/>
    <w:rsid w:val="00377520"/>
    <w:rsid w:val="00377C23"/>
    <w:rsid w:val="00380016"/>
    <w:rsid w:val="003816AA"/>
    <w:rsid w:val="00381CC1"/>
    <w:rsid w:val="00382BEA"/>
    <w:rsid w:val="0038342F"/>
    <w:rsid w:val="003834E2"/>
    <w:rsid w:val="00385122"/>
    <w:rsid w:val="003855B5"/>
    <w:rsid w:val="00386AE7"/>
    <w:rsid w:val="0038704F"/>
    <w:rsid w:val="003900A6"/>
    <w:rsid w:val="003902D6"/>
    <w:rsid w:val="00390747"/>
    <w:rsid w:val="00390FFE"/>
    <w:rsid w:val="003912ED"/>
    <w:rsid w:val="003915D3"/>
    <w:rsid w:val="00391769"/>
    <w:rsid w:val="0039217D"/>
    <w:rsid w:val="00393363"/>
    <w:rsid w:val="0039365C"/>
    <w:rsid w:val="00393B03"/>
    <w:rsid w:val="00393CE8"/>
    <w:rsid w:val="00394E38"/>
    <w:rsid w:val="00395172"/>
    <w:rsid w:val="003951A8"/>
    <w:rsid w:val="0039624A"/>
    <w:rsid w:val="003A00B0"/>
    <w:rsid w:val="003A026F"/>
    <w:rsid w:val="003A21A2"/>
    <w:rsid w:val="003A34CF"/>
    <w:rsid w:val="003A46CB"/>
    <w:rsid w:val="003A483E"/>
    <w:rsid w:val="003A50BF"/>
    <w:rsid w:val="003A568F"/>
    <w:rsid w:val="003A5DD8"/>
    <w:rsid w:val="003A5FE7"/>
    <w:rsid w:val="003A64A6"/>
    <w:rsid w:val="003A6BDE"/>
    <w:rsid w:val="003A6DAA"/>
    <w:rsid w:val="003A71E6"/>
    <w:rsid w:val="003A72DE"/>
    <w:rsid w:val="003A7306"/>
    <w:rsid w:val="003A7907"/>
    <w:rsid w:val="003A79A3"/>
    <w:rsid w:val="003A7D0B"/>
    <w:rsid w:val="003B154D"/>
    <w:rsid w:val="003B2618"/>
    <w:rsid w:val="003B2870"/>
    <w:rsid w:val="003B28F3"/>
    <w:rsid w:val="003B3377"/>
    <w:rsid w:val="003B437F"/>
    <w:rsid w:val="003B4B0A"/>
    <w:rsid w:val="003B4EA0"/>
    <w:rsid w:val="003B581A"/>
    <w:rsid w:val="003B59D5"/>
    <w:rsid w:val="003B66D2"/>
    <w:rsid w:val="003B7E31"/>
    <w:rsid w:val="003C0674"/>
    <w:rsid w:val="003C0BB9"/>
    <w:rsid w:val="003C1936"/>
    <w:rsid w:val="003C1AB5"/>
    <w:rsid w:val="003C1FB4"/>
    <w:rsid w:val="003C235E"/>
    <w:rsid w:val="003C2B88"/>
    <w:rsid w:val="003C3141"/>
    <w:rsid w:val="003C33D5"/>
    <w:rsid w:val="003C35AC"/>
    <w:rsid w:val="003C66D6"/>
    <w:rsid w:val="003C7325"/>
    <w:rsid w:val="003C73F0"/>
    <w:rsid w:val="003C7607"/>
    <w:rsid w:val="003C7C0A"/>
    <w:rsid w:val="003C7D1B"/>
    <w:rsid w:val="003D1047"/>
    <w:rsid w:val="003D1B9D"/>
    <w:rsid w:val="003D25B1"/>
    <w:rsid w:val="003D2B56"/>
    <w:rsid w:val="003D2D9E"/>
    <w:rsid w:val="003D3C36"/>
    <w:rsid w:val="003D6443"/>
    <w:rsid w:val="003D6555"/>
    <w:rsid w:val="003D6F5C"/>
    <w:rsid w:val="003D71D2"/>
    <w:rsid w:val="003D7907"/>
    <w:rsid w:val="003E0013"/>
    <w:rsid w:val="003E1396"/>
    <w:rsid w:val="003E173B"/>
    <w:rsid w:val="003E1790"/>
    <w:rsid w:val="003E18F0"/>
    <w:rsid w:val="003E1E10"/>
    <w:rsid w:val="003E1FA7"/>
    <w:rsid w:val="003E271D"/>
    <w:rsid w:val="003E3FFA"/>
    <w:rsid w:val="003E4A85"/>
    <w:rsid w:val="003E5439"/>
    <w:rsid w:val="003E6323"/>
    <w:rsid w:val="003E6622"/>
    <w:rsid w:val="003E676D"/>
    <w:rsid w:val="003F01A2"/>
    <w:rsid w:val="003F045D"/>
    <w:rsid w:val="003F0726"/>
    <w:rsid w:val="003F25D0"/>
    <w:rsid w:val="003F34B5"/>
    <w:rsid w:val="003F3852"/>
    <w:rsid w:val="003F44CA"/>
    <w:rsid w:val="003F5DD5"/>
    <w:rsid w:val="003F7641"/>
    <w:rsid w:val="00401D51"/>
    <w:rsid w:val="00402C2E"/>
    <w:rsid w:val="00403495"/>
    <w:rsid w:val="00403771"/>
    <w:rsid w:val="00403E2B"/>
    <w:rsid w:val="00404085"/>
    <w:rsid w:val="00405B1D"/>
    <w:rsid w:val="00405FBE"/>
    <w:rsid w:val="00406C5F"/>
    <w:rsid w:val="00407426"/>
    <w:rsid w:val="004105BB"/>
    <w:rsid w:val="00411F84"/>
    <w:rsid w:val="004123AB"/>
    <w:rsid w:val="00412919"/>
    <w:rsid w:val="0041292C"/>
    <w:rsid w:val="00412BDE"/>
    <w:rsid w:val="00413DC9"/>
    <w:rsid w:val="00414447"/>
    <w:rsid w:val="0041709D"/>
    <w:rsid w:val="00420AE0"/>
    <w:rsid w:val="004228FE"/>
    <w:rsid w:val="00423302"/>
    <w:rsid w:val="0042362B"/>
    <w:rsid w:val="0042396A"/>
    <w:rsid w:val="00423AEE"/>
    <w:rsid w:val="00424912"/>
    <w:rsid w:val="0042652C"/>
    <w:rsid w:val="004274DE"/>
    <w:rsid w:val="00427C33"/>
    <w:rsid w:val="0043031A"/>
    <w:rsid w:val="00430510"/>
    <w:rsid w:val="00431A39"/>
    <w:rsid w:val="00431F87"/>
    <w:rsid w:val="00432199"/>
    <w:rsid w:val="004323A0"/>
    <w:rsid w:val="00432A6F"/>
    <w:rsid w:val="0043322E"/>
    <w:rsid w:val="00433CA0"/>
    <w:rsid w:val="00434EBC"/>
    <w:rsid w:val="004371C4"/>
    <w:rsid w:val="004407C0"/>
    <w:rsid w:val="00440A35"/>
    <w:rsid w:val="00441427"/>
    <w:rsid w:val="004414A9"/>
    <w:rsid w:val="0044278C"/>
    <w:rsid w:val="00445213"/>
    <w:rsid w:val="00445DA1"/>
    <w:rsid w:val="004465A8"/>
    <w:rsid w:val="00450DF6"/>
    <w:rsid w:val="00450FE5"/>
    <w:rsid w:val="004521E3"/>
    <w:rsid w:val="00452615"/>
    <w:rsid w:val="00452E77"/>
    <w:rsid w:val="00455198"/>
    <w:rsid w:val="00456102"/>
    <w:rsid w:val="00456245"/>
    <w:rsid w:val="0045789F"/>
    <w:rsid w:val="00457940"/>
    <w:rsid w:val="00457D5B"/>
    <w:rsid w:val="004604DE"/>
    <w:rsid w:val="00460D48"/>
    <w:rsid w:val="00461407"/>
    <w:rsid w:val="00461B01"/>
    <w:rsid w:val="004620D7"/>
    <w:rsid w:val="0046303E"/>
    <w:rsid w:val="00463992"/>
    <w:rsid w:val="00463A4A"/>
    <w:rsid w:val="00463E35"/>
    <w:rsid w:val="0046499D"/>
    <w:rsid w:val="00464A9B"/>
    <w:rsid w:val="00465312"/>
    <w:rsid w:val="00465751"/>
    <w:rsid w:val="00465937"/>
    <w:rsid w:val="0046680B"/>
    <w:rsid w:val="004668A3"/>
    <w:rsid w:val="00467316"/>
    <w:rsid w:val="00467B09"/>
    <w:rsid w:val="00470158"/>
    <w:rsid w:val="00470A75"/>
    <w:rsid w:val="00470E9A"/>
    <w:rsid w:val="00472083"/>
    <w:rsid w:val="0047234B"/>
    <w:rsid w:val="00473871"/>
    <w:rsid w:val="00473961"/>
    <w:rsid w:val="00474337"/>
    <w:rsid w:val="00474756"/>
    <w:rsid w:val="004750D6"/>
    <w:rsid w:val="00476D45"/>
    <w:rsid w:val="00481377"/>
    <w:rsid w:val="00481CC4"/>
    <w:rsid w:val="00481D46"/>
    <w:rsid w:val="00481E50"/>
    <w:rsid w:val="004829B2"/>
    <w:rsid w:val="004836C2"/>
    <w:rsid w:val="00485562"/>
    <w:rsid w:val="0048606F"/>
    <w:rsid w:val="00487890"/>
    <w:rsid w:val="00487DE0"/>
    <w:rsid w:val="00487E5C"/>
    <w:rsid w:val="004927C2"/>
    <w:rsid w:val="00492B53"/>
    <w:rsid w:val="004939D2"/>
    <w:rsid w:val="00493F52"/>
    <w:rsid w:val="00494309"/>
    <w:rsid w:val="0049510A"/>
    <w:rsid w:val="00495562"/>
    <w:rsid w:val="004964C6"/>
    <w:rsid w:val="004973A7"/>
    <w:rsid w:val="004A14C6"/>
    <w:rsid w:val="004A15D6"/>
    <w:rsid w:val="004A16D1"/>
    <w:rsid w:val="004A1702"/>
    <w:rsid w:val="004A17B4"/>
    <w:rsid w:val="004A1C77"/>
    <w:rsid w:val="004A2657"/>
    <w:rsid w:val="004A28C5"/>
    <w:rsid w:val="004A336B"/>
    <w:rsid w:val="004A3490"/>
    <w:rsid w:val="004A3B69"/>
    <w:rsid w:val="004A4863"/>
    <w:rsid w:val="004A4F1F"/>
    <w:rsid w:val="004A6D27"/>
    <w:rsid w:val="004A6E6A"/>
    <w:rsid w:val="004A799A"/>
    <w:rsid w:val="004A7D7F"/>
    <w:rsid w:val="004B1283"/>
    <w:rsid w:val="004B1A19"/>
    <w:rsid w:val="004B2030"/>
    <w:rsid w:val="004B2619"/>
    <w:rsid w:val="004B349D"/>
    <w:rsid w:val="004B3C72"/>
    <w:rsid w:val="004B3CA4"/>
    <w:rsid w:val="004B3D60"/>
    <w:rsid w:val="004B404E"/>
    <w:rsid w:val="004B4D1D"/>
    <w:rsid w:val="004B4DCF"/>
    <w:rsid w:val="004B5462"/>
    <w:rsid w:val="004B5C0D"/>
    <w:rsid w:val="004B5FE3"/>
    <w:rsid w:val="004B6474"/>
    <w:rsid w:val="004B6917"/>
    <w:rsid w:val="004B6BC1"/>
    <w:rsid w:val="004B6DD1"/>
    <w:rsid w:val="004B7055"/>
    <w:rsid w:val="004B76EE"/>
    <w:rsid w:val="004B7879"/>
    <w:rsid w:val="004B78F0"/>
    <w:rsid w:val="004B7E35"/>
    <w:rsid w:val="004C05A2"/>
    <w:rsid w:val="004C083B"/>
    <w:rsid w:val="004C0B9F"/>
    <w:rsid w:val="004C1343"/>
    <w:rsid w:val="004C1608"/>
    <w:rsid w:val="004C182A"/>
    <w:rsid w:val="004C2480"/>
    <w:rsid w:val="004C2596"/>
    <w:rsid w:val="004C27B7"/>
    <w:rsid w:val="004C34A8"/>
    <w:rsid w:val="004C3818"/>
    <w:rsid w:val="004C3DD1"/>
    <w:rsid w:val="004C3FDB"/>
    <w:rsid w:val="004C4106"/>
    <w:rsid w:val="004C4CAF"/>
    <w:rsid w:val="004C558C"/>
    <w:rsid w:val="004C7CD6"/>
    <w:rsid w:val="004D0004"/>
    <w:rsid w:val="004D0871"/>
    <w:rsid w:val="004D0E6F"/>
    <w:rsid w:val="004D14FA"/>
    <w:rsid w:val="004D1E8C"/>
    <w:rsid w:val="004D241C"/>
    <w:rsid w:val="004D293F"/>
    <w:rsid w:val="004D381F"/>
    <w:rsid w:val="004D3B4C"/>
    <w:rsid w:val="004D457D"/>
    <w:rsid w:val="004D554D"/>
    <w:rsid w:val="004D5809"/>
    <w:rsid w:val="004D6334"/>
    <w:rsid w:val="004D7C85"/>
    <w:rsid w:val="004D7CF8"/>
    <w:rsid w:val="004E00E5"/>
    <w:rsid w:val="004E0532"/>
    <w:rsid w:val="004E06B9"/>
    <w:rsid w:val="004E0A0D"/>
    <w:rsid w:val="004E0F6B"/>
    <w:rsid w:val="004E11D0"/>
    <w:rsid w:val="004E1698"/>
    <w:rsid w:val="004E179D"/>
    <w:rsid w:val="004E4661"/>
    <w:rsid w:val="004E7088"/>
    <w:rsid w:val="004E775B"/>
    <w:rsid w:val="004F08DF"/>
    <w:rsid w:val="004F0B7A"/>
    <w:rsid w:val="004F0E7C"/>
    <w:rsid w:val="004F23A4"/>
    <w:rsid w:val="004F3AA6"/>
    <w:rsid w:val="004F4637"/>
    <w:rsid w:val="004F4C5A"/>
    <w:rsid w:val="004F4D44"/>
    <w:rsid w:val="004F5A49"/>
    <w:rsid w:val="004F6584"/>
    <w:rsid w:val="004F6F2D"/>
    <w:rsid w:val="00500BD0"/>
    <w:rsid w:val="00500BF1"/>
    <w:rsid w:val="005010FD"/>
    <w:rsid w:val="005018A8"/>
    <w:rsid w:val="00501E28"/>
    <w:rsid w:val="005023B4"/>
    <w:rsid w:val="00503E5D"/>
    <w:rsid w:val="00504726"/>
    <w:rsid w:val="0050509C"/>
    <w:rsid w:val="0050572B"/>
    <w:rsid w:val="00505A67"/>
    <w:rsid w:val="00505A82"/>
    <w:rsid w:val="00506995"/>
    <w:rsid w:val="00506BFA"/>
    <w:rsid w:val="00506D20"/>
    <w:rsid w:val="0050797E"/>
    <w:rsid w:val="00507A49"/>
    <w:rsid w:val="00510150"/>
    <w:rsid w:val="00510338"/>
    <w:rsid w:val="00512531"/>
    <w:rsid w:val="00512E70"/>
    <w:rsid w:val="0051426C"/>
    <w:rsid w:val="00514E6F"/>
    <w:rsid w:val="0051608E"/>
    <w:rsid w:val="00516C0F"/>
    <w:rsid w:val="00517C1A"/>
    <w:rsid w:val="005215A1"/>
    <w:rsid w:val="0052180B"/>
    <w:rsid w:val="00521B48"/>
    <w:rsid w:val="00521EDF"/>
    <w:rsid w:val="00522074"/>
    <w:rsid w:val="00522BA6"/>
    <w:rsid w:val="00523081"/>
    <w:rsid w:val="00523423"/>
    <w:rsid w:val="00525699"/>
    <w:rsid w:val="005267A7"/>
    <w:rsid w:val="005279EC"/>
    <w:rsid w:val="00527C2C"/>
    <w:rsid w:val="005306C8"/>
    <w:rsid w:val="005306E0"/>
    <w:rsid w:val="005309A0"/>
    <w:rsid w:val="005311BF"/>
    <w:rsid w:val="005316A7"/>
    <w:rsid w:val="00531797"/>
    <w:rsid w:val="00531F14"/>
    <w:rsid w:val="00533E54"/>
    <w:rsid w:val="0053459F"/>
    <w:rsid w:val="00534E31"/>
    <w:rsid w:val="00535D93"/>
    <w:rsid w:val="00536FF1"/>
    <w:rsid w:val="00537A2C"/>
    <w:rsid w:val="0054012C"/>
    <w:rsid w:val="00540162"/>
    <w:rsid w:val="0054068F"/>
    <w:rsid w:val="00540B60"/>
    <w:rsid w:val="00540D88"/>
    <w:rsid w:val="00541983"/>
    <w:rsid w:val="00542D5F"/>
    <w:rsid w:val="00543962"/>
    <w:rsid w:val="00544903"/>
    <w:rsid w:val="00544B11"/>
    <w:rsid w:val="005450D4"/>
    <w:rsid w:val="00545D16"/>
    <w:rsid w:val="00546187"/>
    <w:rsid w:val="0054623F"/>
    <w:rsid w:val="00546486"/>
    <w:rsid w:val="005466C9"/>
    <w:rsid w:val="00547601"/>
    <w:rsid w:val="0054762A"/>
    <w:rsid w:val="00550792"/>
    <w:rsid w:val="005507D7"/>
    <w:rsid w:val="00550BF4"/>
    <w:rsid w:val="00551DB6"/>
    <w:rsid w:val="00553421"/>
    <w:rsid w:val="005534B4"/>
    <w:rsid w:val="00554AE0"/>
    <w:rsid w:val="00554C57"/>
    <w:rsid w:val="0055582E"/>
    <w:rsid w:val="00555987"/>
    <w:rsid w:val="0055689D"/>
    <w:rsid w:val="00556EFB"/>
    <w:rsid w:val="0055725E"/>
    <w:rsid w:val="0056015D"/>
    <w:rsid w:val="00562D52"/>
    <w:rsid w:val="00562FC3"/>
    <w:rsid w:val="0056304C"/>
    <w:rsid w:val="00567066"/>
    <w:rsid w:val="005671E0"/>
    <w:rsid w:val="00567453"/>
    <w:rsid w:val="0056766D"/>
    <w:rsid w:val="0057119A"/>
    <w:rsid w:val="00571EC3"/>
    <w:rsid w:val="00572694"/>
    <w:rsid w:val="00572875"/>
    <w:rsid w:val="005731CC"/>
    <w:rsid w:val="005732EE"/>
    <w:rsid w:val="00573345"/>
    <w:rsid w:val="00573963"/>
    <w:rsid w:val="0057423E"/>
    <w:rsid w:val="00575028"/>
    <w:rsid w:val="00575744"/>
    <w:rsid w:val="0057656B"/>
    <w:rsid w:val="00576E55"/>
    <w:rsid w:val="0057790F"/>
    <w:rsid w:val="00580277"/>
    <w:rsid w:val="00580709"/>
    <w:rsid w:val="005813D5"/>
    <w:rsid w:val="005835E6"/>
    <w:rsid w:val="0058361A"/>
    <w:rsid w:val="00583AF4"/>
    <w:rsid w:val="00584966"/>
    <w:rsid w:val="00584FF4"/>
    <w:rsid w:val="005852EC"/>
    <w:rsid w:val="00585D57"/>
    <w:rsid w:val="005870F6"/>
    <w:rsid w:val="005908C3"/>
    <w:rsid w:val="00590AC0"/>
    <w:rsid w:val="00590B55"/>
    <w:rsid w:val="005929C8"/>
    <w:rsid w:val="0059376C"/>
    <w:rsid w:val="0059559B"/>
    <w:rsid w:val="005960FF"/>
    <w:rsid w:val="00596A74"/>
    <w:rsid w:val="005977F3"/>
    <w:rsid w:val="00597EF2"/>
    <w:rsid w:val="00597FC6"/>
    <w:rsid w:val="005A0184"/>
    <w:rsid w:val="005A1298"/>
    <w:rsid w:val="005A1908"/>
    <w:rsid w:val="005A1B2A"/>
    <w:rsid w:val="005A3410"/>
    <w:rsid w:val="005A3A89"/>
    <w:rsid w:val="005A3F2C"/>
    <w:rsid w:val="005A416B"/>
    <w:rsid w:val="005A42CA"/>
    <w:rsid w:val="005A47A8"/>
    <w:rsid w:val="005A559B"/>
    <w:rsid w:val="005A5A40"/>
    <w:rsid w:val="005A7F2E"/>
    <w:rsid w:val="005B0ADB"/>
    <w:rsid w:val="005B1307"/>
    <w:rsid w:val="005B1CD4"/>
    <w:rsid w:val="005B2B34"/>
    <w:rsid w:val="005B40AF"/>
    <w:rsid w:val="005B6792"/>
    <w:rsid w:val="005B718F"/>
    <w:rsid w:val="005B77EE"/>
    <w:rsid w:val="005B7F28"/>
    <w:rsid w:val="005C0ED6"/>
    <w:rsid w:val="005C0FE8"/>
    <w:rsid w:val="005C1BF4"/>
    <w:rsid w:val="005C3D36"/>
    <w:rsid w:val="005C3EB6"/>
    <w:rsid w:val="005C4BA7"/>
    <w:rsid w:val="005C4BF2"/>
    <w:rsid w:val="005C54C7"/>
    <w:rsid w:val="005C598B"/>
    <w:rsid w:val="005C5EDD"/>
    <w:rsid w:val="005C7ADE"/>
    <w:rsid w:val="005C7D26"/>
    <w:rsid w:val="005D01E2"/>
    <w:rsid w:val="005D030A"/>
    <w:rsid w:val="005D031B"/>
    <w:rsid w:val="005D04A8"/>
    <w:rsid w:val="005D0CBE"/>
    <w:rsid w:val="005D0F7E"/>
    <w:rsid w:val="005D1A03"/>
    <w:rsid w:val="005D2508"/>
    <w:rsid w:val="005D2528"/>
    <w:rsid w:val="005D282C"/>
    <w:rsid w:val="005D2C7F"/>
    <w:rsid w:val="005D3336"/>
    <w:rsid w:val="005D4F95"/>
    <w:rsid w:val="005D6386"/>
    <w:rsid w:val="005D6961"/>
    <w:rsid w:val="005E0590"/>
    <w:rsid w:val="005E0F93"/>
    <w:rsid w:val="005E2EF0"/>
    <w:rsid w:val="005E2F16"/>
    <w:rsid w:val="005E31D4"/>
    <w:rsid w:val="005E3EBD"/>
    <w:rsid w:val="005E4B7D"/>
    <w:rsid w:val="005E533C"/>
    <w:rsid w:val="005E56A3"/>
    <w:rsid w:val="005E5A0D"/>
    <w:rsid w:val="005E5EB9"/>
    <w:rsid w:val="005E6084"/>
    <w:rsid w:val="005E622F"/>
    <w:rsid w:val="005F020B"/>
    <w:rsid w:val="005F058D"/>
    <w:rsid w:val="005F0C9F"/>
    <w:rsid w:val="005F1E0E"/>
    <w:rsid w:val="005F2101"/>
    <w:rsid w:val="005F3BA2"/>
    <w:rsid w:val="005F3C85"/>
    <w:rsid w:val="005F42C4"/>
    <w:rsid w:val="005F494C"/>
    <w:rsid w:val="005F5BCE"/>
    <w:rsid w:val="005F6297"/>
    <w:rsid w:val="005F6EBE"/>
    <w:rsid w:val="00600522"/>
    <w:rsid w:val="0060096D"/>
    <w:rsid w:val="00600D95"/>
    <w:rsid w:val="00601071"/>
    <w:rsid w:val="0060200E"/>
    <w:rsid w:val="00603593"/>
    <w:rsid w:val="00604C07"/>
    <w:rsid w:val="0060550E"/>
    <w:rsid w:val="00606909"/>
    <w:rsid w:val="00606B7B"/>
    <w:rsid w:val="00606FA7"/>
    <w:rsid w:val="006078C7"/>
    <w:rsid w:val="00607C86"/>
    <w:rsid w:val="00610582"/>
    <w:rsid w:val="00610FDA"/>
    <w:rsid w:val="00611163"/>
    <w:rsid w:val="0061140A"/>
    <w:rsid w:val="006117BA"/>
    <w:rsid w:val="00612620"/>
    <w:rsid w:val="006132C8"/>
    <w:rsid w:val="0061521B"/>
    <w:rsid w:val="00615CD2"/>
    <w:rsid w:val="006164EA"/>
    <w:rsid w:val="0061734E"/>
    <w:rsid w:val="006176CA"/>
    <w:rsid w:val="00617723"/>
    <w:rsid w:val="00617F26"/>
    <w:rsid w:val="00621766"/>
    <w:rsid w:val="006230F3"/>
    <w:rsid w:val="00623E5D"/>
    <w:rsid w:val="00624871"/>
    <w:rsid w:val="00624BFF"/>
    <w:rsid w:val="00625593"/>
    <w:rsid w:val="006264D2"/>
    <w:rsid w:val="0062687C"/>
    <w:rsid w:val="00627205"/>
    <w:rsid w:val="0063064A"/>
    <w:rsid w:val="00630E8C"/>
    <w:rsid w:val="00631C33"/>
    <w:rsid w:val="006336CD"/>
    <w:rsid w:val="00635154"/>
    <w:rsid w:val="00635D46"/>
    <w:rsid w:val="006373B7"/>
    <w:rsid w:val="00637B6F"/>
    <w:rsid w:val="00637C5E"/>
    <w:rsid w:val="00640B7D"/>
    <w:rsid w:val="00640BE0"/>
    <w:rsid w:val="00641C14"/>
    <w:rsid w:val="0064200A"/>
    <w:rsid w:val="00642EDA"/>
    <w:rsid w:val="00643427"/>
    <w:rsid w:val="0064382C"/>
    <w:rsid w:val="00643C08"/>
    <w:rsid w:val="00643C4B"/>
    <w:rsid w:val="00644224"/>
    <w:rsid w:val="00644D11"/>
    <w:rsid w:val="00645B8E"/>
    <w:rsid w:val="006462E8"/>
    <w:rsid w:val="00646DBC"/>
    <w:rsid w:val="0064718D"/>
    <w:rsid w:val="00647D32"/>
    <w:rsid w:val="00650225"/>
    <w:rsid w:val="0065053A"/>
    <w:rsid w:val="006506B0"/>
    <w:rsid w:val="0065127C"/>
    <w:rsid w:val="006515F8"/>
    <w:rsid w:val="00651C43"/>
    <w:rsid w:val="00652903"/>
    <w:rsid w:val="00654A8B"/>
    <w:rsid w:val="006608A9"/>
    <w:rsid w:val="00661849"/>
    <w:rsid w:val="00662A46"/>
    <w:rsid w:val="00662B79"/>
    <w:rsid w:val="00664F73"/>
    <w:rsid w:val="00665E9B"/>
    <w:rsid w:val="0066654A"/>
    <w:rsid w:val="006667EA"/>
    <w:rsid w:val="0066742D"/>
    <w:rsid w:val="0067082D"/>
    <w:rsid w:val="006709D9"/>
    <w:rsid w:val="006718AC"/>
    <w:rsid w:val="006720C3"/>
    <w:rsid w:val="0067316C"/>
    <w:rsid w:val="0067431C"/>
    <w:rsid w:val="00674466"/>
    <w:rsid w:val="00674ADB"/>
    <w:rsid w:val="00674B2C"/>
    <w:rsid w:val="0067511F"/>
    <w:rsid w:val="00675811"/>
    <w:rsid w:val="006758DE"/>
    <w:rsid w:val="006765A9"/>
    <w:rsid w:val="006768FF"/>
    <w:rsid w:val="00676BD4"/>
    <w:rsid w:val="00677381"/>
    <w:rsid w:val="0068024E"/>
    <w:rsid w:val="006805DA"/>
    <w:rsid w:val="00680E86"/>
    <w:rsid w:val="00681D2F"/>
    <w:rsid w:val="00682B76"/>
    <w:rsid w:val="00682E86"/>
    <w:rsid w:val="00683419"/>
    <w:rsid w:val="0068372F"/>
    <w:rsid w:val="00684BCF"/>
    <w:rsid w:val="006864BE"/>
    <w:rsid w:val="0068669E"/>
    <w:rsid w:val="00687246"/>
    <w:rsid w:val="00687C34"/>
    <w:rsid w:val="0069002D"/>
    <w:rsid w:val="00690F88"/>
    <w:rsid w:val="00691716"/>
    <w:rsid w:val="006932F3"/>
    <w:rsid w:val="006941D0"/>
    <w:rsid w:val="00694FBA"/>
    <w:rsid w:val="006957C1"/>
    <w:rsid w:val="00695E86"/>
    <w:rsid w:val="00695FD8"/>
    <w:rsid w:val="0069646A"/>
    <w:rsid w:val="00697892"/>
    <w:rsid w:val="006A0EE8"/>
    <w:rsid w:val="006A110F"/>
    <w:rsid w:val="006A3011"/>
    <w:rsid w:val="006A347B"/>
    <w:rsid w:val="006A3731"/>
    <w:rsid w:val="006A40BD"/>
    <w:rsid w:val="006A4786"/>
    <w:rsid w:val="006A4906"/>
    <w:rsid w:val="006A5379"/>
    <w:rsid w:val="006A5DA9"/>
    <w:rsid w:val="006A6472"/>
    <w:rsid w:val="006A6B89"/>
    <w:rsid w:val="006A785A"/>
    <w:rsid w:val="006B03F5"/>
    <w:rsid w:val="006B067B"/>
    <w:rsid w:val="006B0695"/>
    <w:rsid w:val="006B0ADE"/>
    <w:rsid w:val="006B2A59"/>
    <w:rsid w:val="006B2F55"/>
    <w:rsid w:val="006B329A"/>
    <w:rsid w:val="006B3CF6"/>
    <w:rsid w:val="006B6056"/>
    <w:rsid w:val="006C080F"/>
    <w:rsid w:val="006C082E"/>
    <w:rsid w:val="006C0885"/>
    <w:rsid w:val="006C111C"/>
    <w:rsid w:val="006C154B"/>
    <w:rsid w:val="006C36EE"/>
    <w:rsid w:val="006C36FD"/>
    <w:rsid w:val="006C3D57"/>
    <w:rsid w:val="006C42E7"/>
    <w:rsid w:val="006C476D"/>
    <w:rsid w:val="006C4BDD"/>
    <w:rsid w:val="006C590B"/>
    <w:rsid w:val="006C5B15"/>
    <w:rsid w:val="006C5FE1"/>
    <w:rsid w:val="006C615C"/>
    <w:rsid w:val="006C615F"/>
    <w:rsid w:val="006C635F"/>
    <w:rsid w:val="006C7299"/>
    <w:rsid w:val="006C73B4"/>
    <w:rsid w:val="006C7FBF"/>
    <w:rsid w:val="006D099D"/>
    <w:rsid w:val="006D1EC7"/>
    <w:rsid w:val="006D200C"/>
    <w:rsid w:val="006D265C"/>
    <w:rsid w:val="006D3D79"/>
    <w:rsid w:val="006D4B2E"/>
    <w:rsid w:val="006D56AD"/>
    <w:rsid w:val="006D5C16"/>
    <w:rsid w:val="006D6BAC"/>
    <w:rsid w:val="006E04E0"/>
    <w:rsid w:val="006E0633"/>
    <w:rsid w:val="006E0FE8"/>
    <w:rsid w:val="006E1EA2"/>
    <w:rsid w:val="006E207E"/>
    <w:rsid w:val="006E24DD"/>
    <w:rsid w:val="006E2749"/>
    <w:rsid w:val="006E2CF6"/>
    <w:rsid w:val="006E31E2"/>
    <w:rsid w:val="006E32DA"/>
    <w:rsid w:val="006E3343"/>
    <w:rsid w:val="006E3D0C"/>
    <w:rsid w:val="006E4366"/>
    <w:rsid w:val="006E467D"/>
    <w:rsid w:val="006E554A"/>
    <w:rsid w:val="006E5BF4"/>
    <w:rsid w:val="006E6554"/>
    <w:rsid w:val="006F0737"/>
    <w:rsid w:val="006F1B99"/>
    <w:rsid w:val="006F2958"/>
    <w:rsid w:val="006F43E6"/>
    <w:rsid w:val="006F4BEC"/>
    <w:rsid w:val="006F4C3B"/>
    <w:rsid w:val="006F5164"/>
    <w:rsid w:val="006F6EAE"/>
    <w:rsid w:val="00700274"/>
    <w:rsid w:val="0070158B"/>
    <w:rsid w:val="00701710"/>
    <w:rsid w:val="00702393"/>
    <w:rsid w:val="00702792"/>
    <w:rsid w:val="00703009"/>
    <w:rsid w:val="00703BC8"/>
    <w:rsid w:val="0070468F"/>
    <w:rsid w:val="00704D3D"/>
    <w:rsid w:val="0070522D"/>
    <w:rsid w:val="00705457"/>
    <w:rsid w:val="007064C2"/>
    <w:rsid w:val="00706856"/>
    <w:rsid w:val="0070702D"/>
    <w:rsid w:val="00711525"/>
    <w:rsid w:val="00711672"/>
    <w:rsid w:val="00712B5C"/>
    <w:rsid w:val="00713055"/>
    <w:rsid w:val="007134DA"/>
    <w:rsid w:val="00713A88"/>
    <w:rsid w:val="0071660C"/>
    <w:rsid w:val="00716FFB"/>
    <w:rsid w:val="00717410"/>
    <w:rsid w:val="007174A7"/>
    <w:rsid w:val="007178DC"/>
    <w:rsid w:val="00717B1B"/>
    <w:rsid w:val="00720621"/>
    <w:rsid w:val="007207B0"/>
    <w:rsid w:val="00721548"/>
    <w:rsid w:val="0072187A"/>
    <w:rsid w:val="0072298D"/>
    <w:rsid w:val="007235A5"/>
    <w:rsid w:val="00723E6A"/>
    <w:rsid w:val="00723E93"/>
    <w:rsid w:val="00723F1D"/>
    <w:rsid w:val="007240C6"/>
    <w:rsid w:val="007249A8"/>
    <w:rsid w:val="00725061"/>
    <w:rsid w:val="00725834"/>
    <w:rsid w:val="0072650B"/>
    <w:rsid w:val="00726727"/>
    <w:rsid w:val="00726AFB"/>
    <w:rsid w:val="00726E86"/>
    <w:rsid w:val="007270CD"/>
    <w:rsid w:val="00727A2F"/>
    <w:rsid w:val="00727FF0"/>
    <w:rsid w:val="00730AA1"/>
    <w:rsid w:val="00731085"/>
    <w:rsid w:val="007310A2"/>
    <w:rsid w:val="007310D9"/>
    <w:rsid w:val="0073257E"/>
    <w:rsid w:val="00732BCD"/>
    <w:rsid w:val="00732C39"/>
    <w:rsid w:val="00733411"/>
    <w:rsid w:val="007338AD"/>
    <w:rsid w:val="00734705"/>
    <w:rsid w:val="00734723"/>
    <w:rsid w:val="00734C1B"/>
    <w:rsid w:val="00734EA9"/>
    <w:rsid w:val="00735E38"/>
    <w:rsid w:val="00735EFA"/>
    <w:rsid w:val="00737161"/>
    <w:rsid w:val="007371AA"/>
    <w:rsid w:val="0074037C"/>
    <w:rsid w:val="007406E3"/>
    <w:rsid w:val="00741791"/>
    <w:rsid w:val="007418E1"/>
    <w:rsid w:val="007432E1"/>
    <w:rsid w:val="0074354A"/>
    <w:rsid w:val="00743AD1"/>
    <w:rsid w:val="00743CC4"/>
    <w:rsid w:val="00745014"/>
    <w:rsid w:val="007450A0"/>
    <w:rsid w:val="007458B2"/>
    <w:rsid w:val="00746515"/>
    <w:rsid w:val="00746643"/>
    <w:rsid w:val="0074708F"/>
    <w:rsid w:val="00750F01"/>
    <w:rsid w:val="00751779"/>
    <w:rsid w:val="00751AEB"/>
    <w:rsid w:val="00752D73"/>
    <w:rsid w:val="00753047"/>
    <w:rsid w:val="00753517"/>
    <w:rsid w:val="007536A1"/>
    <w:rsid w:val="00755D67"/>
    <w:rsid w:val="00756900"/>
    <w:rsid w:val="00757ADE"/>
    <w:rsid w:val="00760003"/>
    <w:rsid w:val="00760804"/>
    <w:rsid w:val="007609A7"/>
    <w:rsid w:val="00761C9D"/>
    <w:rsid w:val="00762DD8"/>
    <w:rsid w:val="007655CD"/>
    <w:rsid w:val="00765C3E"/>
    <w:rsid w:val="00765FCE"/>
    <w:rsid w:val="007664E1"/>
    <w:rsid w:val="007665B7"/>
    <w:rsid w:val="007665C2"/>
    <w:rsid w:val="00766F3C"/>
    <w:rsid w:val="007671ED"/>
    <w:rsid w:val="00767525"/>
    <w:rsid w:val="00767A9D"/>
    <w:rsid w:val="00770775"/>
    <w:rsid w:val="00772210"/>
    <w:rsid w:val="0077227F"/>
    <w:rsid w:val="00772626"/>
    <w:rsid w:val="00773291"/>
    <w:rsid w:val="007740AB"/>
    <w:rsid w:val="00775B51"/>
    <w:rsid w:val="00775F51"/>
    <w:rsid w:val="0077651C"/>
    <w:rsid w:val="00776609"/>
    <w:rsid w:val="007768DE"/>
    <w:rsid w:val="00776B75"/>
    <w:rsid w:val="00776F4F"/>
    <w:rsid w:val="00777995"/>
    <w:rsid w:val="00781AB7"/>
    <w:rsid w:val="00781DF0"/>
    <w:rsid w:val="00781E1C"/>
    <w:rsid w:val="00781E85"/>
    <w:rsid w:val="00783250"/>
    <w:rsid w:val="00783AE6"/>
    <w:rsid w:val="00784A42"/>
    <w:rsid w:val="007853BE"/>
    <w:rsid w:val="00787592"/>
    <w:rsid w:val="00787967"/>
    <w:rsid w:val="00790B72"/>
    <w:rsid w:val="00790D2B"/>
    <w:rsid w:val="007915F0"/>
    <w:rsid w:val="007916AF"/>
    <w:rsid w:val="007916E4"/>
    <w:rsid w:val="007930BB"/>
    <w:rsid w:val="00796D95"/>
    <w:rsid w:val="007974DD"/>
    <w:rsid w:val="007A0279"/>
    <w:rsid w:val="007A04DE"/>
    <w:rsid w:val="007A0DDD"/>
    <w:rsid w:val="007A141A"/>
    <w:rsid w:val="007A16A5"/>
    <w:rsid w:val="007A2884"/>
    <w:rsid w:val="007A3468"/>
    <w:rsid w:val="007A3933"/>
    <w:rsid w:val="007A393B"/>
    <w:rsid w:val="007A5CB1"/>
    <w:rsid w:val="007A7992"/>
    <w:rsid w:val="007A7CE6"/>
    <w:rsid w:val="007A7D73"/>
    <w:rsid w:val="007B062F"/>
    <w:rsid w:val="007B10FC"/>
    <w:rsid w:val="007B1139"/>
    <w:rsid w:val="007B1F1D"/>
    <w:rsid w:val="007B23D3"/>
    <w:rsid w:val="007B2531"/>
    <w:rsid w:val="007B3A0C"/>
    <w:rsid w:val="007B3BAF"/>
    <w:rsid w:val="007B4C8F"/>
    <w:rsid w:val="007B4FC4"/>
    <w:rsid w:val="007B6062"/>
    <w:rsid w:val="007B6174"/>
    <w:rsid w:val="007B6C1F"/>
    <w:rsid w:val="007B6ED2"/>
    <w:rsid w:val="007B700D"/>
    <w:rsid w:val="007B7EBF"/>
    <w:rsid w:val="007C0304"/>
    <w:rsid w:val="007C11F0"/>
    <w:rsid w:val="007C196B"/>
    <w:rsid w:val="007C37CD"/>
    <w:rsid w:val="007C3999"/>
    <w:rsid w:val="007C433F"/>
    <w:rsid w:val="007C4BC7"/>
    <w:rsid w:val="007C50C6"/>
    <w:rsid w:val="007C6358"/>
    <w:rsid w:val="007C7499"/>
    <w:rsid w:val="007D161D"/>
    <w:rsid w:val="007D200C"/>
    <w:rsid w:val="007D24D0"/>
    <w:rsid w:val="007D254A"/>
    <w:rsid w:val="007D33B8"/>
    <w:rsid w:val="007D34F3"/>
    <w:rsid w:val="007D389A"/>
    <w:rsid w:val="007D4B92"/>
    <w:rsid w:val="007D5A3C"/>
    <w:rsid w:val="007D5F4F"/>
    <w:rsid w:val="007D67DC"/>
    <w:rsid w:val="007D6FAB"/>
    <w:rsid w:val="007D7049"/>
    <w:rsid w:val="007D7E00"/>
    <w:rsid w:val="007E1676"/>
    <w:rsid w:val="007E1DBF"/>
    <w:rsid w:val="007E1F6E"/>
    <w:rsid w:val="007E2255"/>
    <w:rsid w:val="007E2D79"/>
    <w:rsid w:val="007E2DEE"/>
    <w:rsid w:val="007E34B4"/>
    <w:rsid w:val="007E37E0"/>
    <w:rsid w:val="007E3D0F"/>
    <w:rsid w:val="007E3FF1"/>
    <w:rsid w:val="007E4D97"/>
    <w:rsid w:val="007E4DB7"/>
    <w:rsid w:val="007E52B6"/>
    <w:rsid w:val="007E6458"/>
    <w:rsid w:val="007E75B4"/>
    <w:rsid w:val="007E7822"/>
    <w:rsid w:val="007E78BE"/>
    <w:rsid w:val="007F0171"/>
    <w:rsid w:val="007F018F"/>
    <w:rsid w:val="007F24CF"/>
    <w:rsid w:val="007F2C34"/>
    <w:rsid w:val="007F30C8"/>
    <w:rsid w:val="007F3462"/>
    <w:rsid w:val="007F4E02"/>
    <w:rsid w:val="007F5320"/>
    <w:rsid w:val="007F54F7"/>
    <w:rsid w:val="007F56E2"/>
    <w:rsid w:val="007F584F"/>
    <w:rsid w:val="007F5B5C"/>
    <w:rsid w:val="007F5F8B"/>
    <w:rsid w:val="007F70B4"/>
    <w:rsid w:val="007F720B"/>
    <w:rsid w:val="008007F0"/>
    <w:rsid w:val="00800AC9"/>
    <w:rsid w:val="00800F63"/>
    <w:rsid w:val="008019AD"/>
    <w:rsid w:val="00802909"/>
    <w:rsid w:val="00803540"/>
    <w:rsid w:val="008039E6"/>
    <w:rsid w:val="00804C6A"/>
    <w:rsid w:val="00804EEF"/>
    <w:rsid w:val="008053C4"/>
    <w:rsid w:val="00805CDD"/>
    <w:rsid w:val="0080687D"/>
    <w:rsid w:val="00806F81"/>
    <w:rsid w:val="008074CE"/>
    <w:rsid w:val="00807649"/>
    <w:rsid w:val="00810578"/>
    <w:rsid w:val="008108C7"/>
    <w:rsid w:val="00810DC0"/>
    <w:rsid w:val="00811120"/>
    <w:rsid w:val="008114BA"/>
    <w:rsid w:val="00812303"/>
    <w:rsid w:val="008126A9"/>
    <w:rsid w:val="008128AC"/>
    <w:rsid w:val="0081293E"/>
    <w:rsid w:val="008139AD"/>
    <w:rsid w:val="00815F82"/>
    <w:rsid w:val="00816C8B"/>
    <w:rsid w:val="0081743C"/>
    <w:rsid w:val="00820903"/>
    <w:rsid w:val="00820913"/>
    <w:rsid w:val="00821356"/>
    <w:rsid w:val="00822058"/>
    <w:rsid w:val="0082251E"/>
    <w:rsid w:val="0082397F"/>
    <w:rsid w:val="00823A8A"/>
    <w:rsid w:val="008244BE"/>
    <w:rsid w:val="00826585"/>
    <w:rsid w:val="008265AD"/>
    <w:rsid w:val="00826D48"/>
    <w:rsid w:val="008272F8"/>
    <w:rsid w:val="00827D8F"/>
    <w:rsid w:val="008307EE"/>
    <w:rsid w:val="00830E0D"/>
    <w:rsid w:val="00830EA7"/>
    <w:rsid w:val="00830F1E"/>
    <w:rsid w:val="00830F55"/>
    <w:rsid w:val="00831702"/>
    <w:rsid w:val="0083192C"/>
    <w:rsid w:val="008334A5"/>
    <w:rsid w:val="008361AB"/>
    <w:rsid w:val="00836CCF"/>
    <w:rsid w:val="0083727C"/>
    <w:rsid w:val="00837300"/>
    <w:rsid w:val="00840C50"/>
    <w:rsid w:val="008415FF"/>
    <w:rsid w:val="008422E1"/>
    <w:rsid w:val="00842312"/>
    <w:rsid w:val="00843963"/>
    <w:rsid w:val="00843B77"/>
    <w:rsid w:val="00844D01"/>
    <w:rsid w:val="008455D3"/>
    <w:rsid w:val="008455FE"/>
    <w:rsid w:val="008459FA"/>
    <w:rsid w:val="00845D6E"/>
    <w:rsid w:val="00845E00"/>
    <w:rsid w:val="00845E7F"/>
    <w:rsid w:val="008464A9"/>
    <w:rsid w:val="00846E78"/>
    <w:rsid w:val="0084752E"/>
    <w:rsid w:val="008479CF"/>
    <w:rsid w:val="00850710"/>
    <w:rsid w:val="008509B7"/>
    <w:rsid w:val="00850BA5"/>
    <w:rsid w:val="008516FF"/>
    <w:rsid w:val="0085176F"/>
    <w:rsid w:val="0085180A"/>
    <w:rsid w:val="00852306"/>
    <w:rsid w:val="0085290E"/>
    <w:rsid w:val="00852A84"/>
    <w:rsid w:val="0085536E"/>
    <w:rsid w:val="008554C5"/>
    <w:rsid w:val="00855C6D"/>
    <w:rsid w:val="00855FA7"/>
    <w:rsid w:val="0085687C"/>
    <w:rsid w:val="00860801"/>
    <w:rsid w:val="00860A62"/>
    <w:rsid w:val="00860BB0"/>
    <w:rsid w:val="00860C05"/>
    <w:rsid w:val="008614E7"/>
    <w:rsid w:val="00861692"/>
    <w:rsid w:val="008628E1"/>
    <w:rsid w:val="008638B1"/>
    <w:rsid w:val="008647FD"/>
    <w:rsid w:val="008650E7"/>
    <w:rsid w:val="008650EA"/>
    <w:rsid w:val="00865814"/>
    <w:rsid w:val="0086621E"/>
    <w:rsid w:val="00866E8F"/>
    <w:rsid w:val="0086746F"/>
    <w:rsid w:val="00867942"/>
    <w:rsid w:val="00867AF9"/>
    <w:rsid w:val="00867C56"/>
    <w:rsid w:val="00867D43"/>
    <w:rsid w:val="008709E4"/>
    <w:rsid w:val="00870D7F"/>
    <w:rsid w:val="0087189F"/>
    <w:rsid w:val="00872006"/>
    <w:rsid w:val="0087464A"/>
    <w:rsid w:val="00874877"/>
    <w:rsid w:val="00875DC8"/>
    <w:rsid w:val="00876030"/>
    <w:rsid w:val="00876068"/>
    <w:rsid w:val="00876A98"/>
    <w:rsid w:val="00877383"/>
    <w:rsid w:val="0087754A"/>
    <w:rsid w:val="00877ED6"/>
    <w:rsid w:val="00880B2A"/>
    <w:rsid w:val="008814D2"/>
    <w:rsid w:val="00881948"/>
    <w:rsid w:val="00881D36"/>
    <w:rsid w:val="00883165"/>
    <w:rsid w:val="00884632"/>
    <w:rsid w:val="00884855"/>
    <w:rsid w:val="008848A2"/>
    <w:rsid w:val="0088509B"/>
    <w:rsid w:val="0088608E"/>
    <w:rsid w:val="008861EB"/>
    <w:rsid w:val="00886A97"/>
    <w:rsid w:val="00886ED3"/>
    <w:rsid w:val="0088723C"/>
    <w:rsid w:val="008877E9"/>
    <w:rsid w:val="00887B8E"/>
    <w:rsid w:val="0089028C"/>
    <w:rsid w:val="00890822"/>
    <w:rsid w:val="00890D60"/>
    <w:rsid w:val="00891A83"/>
    <w:rsid w:val="00891C7F"/>
    <w:rsid w:val="0089219F"/>
    <w:rsid w:val="008921B0"/>
    <w:rsid w:val="0089236B"/>
    <w:rsid w:val="00893403"/>
    <w:rsid w:val="00893406"/>
    <w:rsid w:val="00893726"/>
    <w:rsid w:val="00893BC9"/>
    <w:rsid w:val="008944EE"/>
    <w:rsid w:val="00894891"/>
    <w:rsid w:val="0089493D"/>
    <w:rsid w:val="00894E2A"/>
    <w:rsid w:val="0089506B"/>
    <w:rsid w:val="00895169"/>
    <w:rsid w:val="00895A5B"/>
    <w:rsid w:val="00895B67"/>
    <w:rsid w:val="00896DFB"/>
    <w:rsid w:val="008A0322"/>
    <w:rsid w:val="008A03A1"/>
    <w:rsid w:val="008A0E9D"/>
    <w:rsid w:val="008A2803"/>
    <w:rsid w:val="008A2868"/>
    <w:rsid w:val="008A365A"/>
    <w:rsid w:val="008A3D64"/>
    <w:rsid w:val="008A3F98"/>
    <w:rsid w:val="008A457B"/>
    <w:rsid w:val="008A4B2B"/>
    <w:rsid w:val="008A570B"/>
    <w:rsid w:val="008A7241"/>
    <w:rsid w:val="008A732D"/>
    <w:rsid w:val="008A7BA9"/>
    <w:rsid w:val="008A7F3B"/>
    <w:rsid w:val="008B0B77"/>
    <w:rsid w:val="008B1EBC"/>
    <w:rsid w:val="008B1F52"/>
    <w:rsid w:val="008B1FA6"/>
    <w:rsid w:val="008B2A25"/>
    <w:rsid w:val="008B2CDE"/>
    <w:rsid w:val="008B3AB8"/>
    <w:rsid w:val="008B3FCD"/>
    <w:rsid w:val="008B5910"/>
    <w:rsid w:val="008B645D"/>
    <w:rsid w:val="008B6518"/>
    <w:rsid w:val="008B7C38"/>
    <w:rsid w:val="008C00BA"/>
    <w:rsid w:val="008C123E"/>
    <w:rsid w:val="008C12C9"/>
    <w:rsid w:val="008C1722"/>
    <w:rsid w:val="008C1772"/>
    <w:rsid w:val="008C2657"/>
    <w:rsid w:val="008C2C65"/>
    <w:rsid w:val="008C3577"/>
    <w:rsid w:val="008C38BA"/>
    <w:rsid w:val="008C4126"/>
    <w:rsid w:val="008C4D89"/>
    <w:rsid w:val="008C4EA0"/>
    <w:rsid w:val="008C5775"/>
    <w:rsid w:val="008C6D5D"/>
    <w:rsid w:val="008C74E5"/>
    <w:rsid w:val="008C79E1"/>
    <w:rsid w:val="008C7C5A"/>
    <w:rsid w:val="008C7E49"/>
    <w:rsid w:val="008C7F72"/>
    <w:rsid w:val="008D0202"/>
    <w:rsid w:val="008D0B09"/>
    <w:rsid w:val="008D1E20"/>
    <w:rsid w:val="008D2D5E"/>
    <w:rsid w:val="008D3661"/>
    <w:rsid w:val="008D3CEB"/>
    <w:rsid w:val="008D3D69"/>
    <w:rsid w:val="008D3ECC"/>
    <w:rsid w:val="008D444B"/>
    <w:rsid w:val="008D68AE"/>
    <w:rsid w:val="008E17C0"/>
    <w:rsid w:val="008E1D2A"/>
    <w:rsid w:val="008E26B9"/>
    <w:rsid w:val="008E2A91"/>
    <w:rsid w:val="008E33E8"/>
    <w:rsid w:val="008E3DE0"/>
    <w:rsid w:val="008E509B"/>
    <w:rsid w:val="008E56EA"/>
    <w:rsid w:val="008E5C0E"/>
    <w:rsid w:val="008E668C"/>
    <w:rsid w:val="008E7B91"/>
    <w:rsid w:val="008E7F5C"/>
    <w:rsid w:val="008F04FA"/>
    <w:rsid w:val="008F154D"/>
    <w:rsid w:val="008F1BF7"/>
    <w:rsid w:val="008F3476"/>
    <w:rsid w:val="008F42BE"/>
    <w:rsid w:val="008F4543"/>
    <w:rsid w:val="008F47A3"/>
    <w:rsid w:val="008F4CF1"/>
    <w:rsid w:val="008F6965"/>
    <w:rsid w:val="008F6C76"/>
    <w:rsid w:val="008F6D93"/>
    <w:rsid w:val="008F7603"/>
    <w:rsid w:val="009002F0"/>
    <w:rsid w:val="009010D0"/>
    <w:rsid w:val="009013AF"/>
    <w:rsid w:val="009015BE"/>
    <w:rsid w:val="009035C5"/>
    <w:rsid w:val="00904127"/>
    <w:rsid w:val="00904A7B"/>
    <w:rsid w:val="00904DF7"/>
    <w:rsid w:val="009053EA"/>
    <w:rsid w:val="00906694"/>
    <w:rsid w:val="00911326"/>
    <w:rsid w:val="00911407"/>
    <w:rsid w:val="009121D3"/>
    <w:rsid w:val="0091229E"/>
    <w:rsid w:val="009125BF"/>
    <w:rsid w:val="00912A63"/>
    <w:rsid w:val="00912F81"/>
    <w:rsid w:val="00913BA5"/>
    <w:rsid w:val="00913BF3"/>
    <w:rsid w:val="00914878"/>
    <w:rsid w:val="00914B77"/>
    <w:rsid w:val="00914DE5"/>
    <w:rsid w:val="00915293"/>
    <w:rsid w:val="00915A2B"/>
    <w:rsid w:val="00916053"/>
    <w:rsid w:val="009163FD"/>
    <w:rsid w:val="00917202"/>
    <w:rsid w:val="009172CD"/>
    <w:rsid w:val="00917718"/>
    <w:rsid w:val="00917814"/>
    <w:rsid w:val="00920465"/>
    <w:rsid w:val="00922148"/>
    <w:rsid w:val="00924BC6"/>
    <w:rsid w:val="00924FA9"/>
    <w:rsid w:val="009253EC"/>
    <w:rsid w:val="009257B0"/>
    <w:rsid w:val="00925E58"/>
    <w:rsid w:val="00925E9B"/>
    <w:rsid w:val="009263B2"/>
    <w:rsid w:val="00926E6E"/>
    <w:rsid w:val="009275C4"/>
    <w:rsid w:val="00927839"/>
    <w:rsid w:val="0093053C"/>
    <w:rsid w:val="00930B58"/>
    <w:rsid w:val="009317C7"/>
    <w:rsid w:val="00932D1E"/>
    <w:rsid w:val="00932E9C"/>
    <w:rsid w:val="00932EDA"/>
    <w:rsid w:val="0093301C"/>
    <w:rsid w:val="00934AA2"/>
    <w:rsid w:val="00934C4D"/>
    <w:rsid w:val="009356B0"/>
    <w:rsid w:val="00936ED6"/>
    <w:rsid w:val="00937742"/>
    <w:rsid w:val="0093796C"/>
    <w:rsid w:val="00937CAA"/>
    <w:rsid w:val="00941180"/>
    <w:rsid w:val="00941FEE"/>
    <w:rsid w:val="009427E6"/>
    <w:rsid w:val="00942893"/>
    <w:rsid w:val="00943377"/>
    <w:rsid w:val="00944958"/>
    <w:rsid w:val="00944C61"/>
    <w:rsid w:val="0094538A"/>
    <w:rsid w:val="00945773"/>
    <w:rsid w:val="00946173"/>
    <w:rsid w:val="00946E44"/>
    <w:rsid w:val="0094714B"/>
    <w:rsid w:val="00947B4B"/>
    <w:rsid w:val="00950A19"/>
    <w:rsid w:val="00950A75"/>
    <w:rsid w:val="009517A5"/>
    <w:rsid w:val="00951921"/>
    <w:rsid w:val="00951CEA"/>
    <w:rsid w:val="00951E00"/>
    <w:rsid w:val="00952D17"/>
    <w:rsid w:val="0095322D"/>
    <w:rsid w:val="00953A31"/>
    <w:rsid w:val="0095411B"/>
    <w:rsid w:val="00954DD8"/>
    <w:rsid w:val="00954EE8"/>
    <w:rsid w:val="009550A9"/>
    <w:rsid w:val="00956C69"/>
    <w:rsid w:val="00956E12"/>
    <w:rsid w:val="00957DB4"/>
    <w:rsid w:val="009600B7"/>
    <w:rsid w:val="009600E9"/>
    <w:rsid w:val="00960141"/>
    <w:rsid w:val="009614AD"/>
    <w:rsid w:val="0096164E"/>
    <w:rsid w:val="009616D6"/>
    <w:rsid w:val="00963148"/>
    <w:rsid w:val="009634D0"/>
    <w:rsid w:val="00963694"/>
    <w:rsid w:val="00963806"/>
    <w:rsid w:val="00964E9B"/>
    <w:rsid w:val="00965DE9"/>
    <w:rsid w:val="00966F50"/>
    <w:rsid w:val="00967145"/>
    <w:rsid w:val="0096743C"/>
    <w:rsid w:val="009675BD"/>
    <w:rsid w:val="009704C5"/>
    <w:rsid w:val="009716CD"/>
    <w:rsid w:val="0097264C"/>
    <w:rsid w:val="00974E8E"/>
    <w:rsid w:val="00975605"/>
    <w:rsid w:val="00975777"/>
    <w:rsid w:val="00975C3A"/>
    <w:rsid w:val="00976D0E"/>
    <w:rsid w:val="009807D0"/>
    <w:rsid w:val="00980C61"/>
    <w:rsid w:val="00981275"/>
    <w:rsid w:val="00981E0B"/>
    <w:rsid w:val="009825AF"/>
    <w:rsid w:val="00982E09"/>
    <w:rsid w:val="00982E6C"/>
    <w:rsid w:val="009836B5"/>
    <w:rsid w:val="00983811"/>
    <w:rsid w:val="0098480B"/>
    <w:rsid w:val="00986160"/>
    <w:rsid w:val="009861F2"/>
    <w:rsid w:val="0098773B"/>
    <w:rsid w:val="0099037A"/>
    <w:rsid w:val="00990D5A"/>
    <w:rsid w:val="009917D1"/>
    <w:rsid w:val="00991840"/>
    <w:rsid w:val="009918D8"/>
    <w:rsid w:val="00991F97"/>
    <w:rsid w:val="0099270A"/>
    <w:rsid w:val="00993E14"/>
    <w:rsid w:val="00995141"/>
    <w:rsid w:val="00995756"/>
    <w:rsid w:val="0099585F"/>
    <w:rsid w:val="0099621C"/>
    <w:rsid w:val="009962C4"/>
    <w:rsid w:val="009963D8"/>
    <w:rsid w:val="00997C57"/>
    <w:rsid w:val="009A0F10"/>
    <w:rsid w:val="009A17FA"/>
    <w:rsid w:val="009A204B"/>
    <w:rsid w:val="009A2AF8"/>
    <w:rsid w:val="009A35D3"/>
    <w:rsid w:val="009A3FDB"/>
    <w:rsid w:val="009A56FF"/>
    <w:rsid w:val="009A615E"/>
    <w:rsid w:val="009A6CCD"/>
    <w:rsid w:val="009A6DEE"/>
    <w:rsid w:val="009A723F"/>
    <w:rsid w:val="009A7E75"/>
    <w:rsid w:val="009B03FD"/>
    <w:rsid w:val="009B14AD"/>
    <w:rsid w:val="009B20B7"/>
    <w:rsid w:val="009B26D8"/>
    <w:rsid w:val="009B2C19"/>
    <w:rsid w:val="009B515B"/>
    <w:rsid w:val="009B54F3"/>
    <w:rsid w:val="009B599C"/>
    <w:rsid w:val="009B72FC"/>
    <w:rsid w:val="009C05D3"/>
    <w:rsid w:val="009C0952"/>
    <w:rsid w:val="009C0FCF"/>
    <w:rsid w:val="009C1844"/>
    <w:rsid w:val="009C3E0D"/>
    <w:rsid w:val="009C408E"/>
    <w:rsid w:val="009C499B"/>
    <w:rsid w:val="009C4ED9"/>
    <w:rsid w:val="009C5680"/>
    <w:rsid w:val="009C7DCC"/>
    <w:rsid w:val="009D0853"/>
    <w:rsid w:val="009D18F4"/>
    <w:rsid w:val="009D24DD"/>
    <w:rsid w:val="009D28D3"/>
    <w:rsid w:val="009D2AA0"/>
    <w:rsid w:val="009D2ADE"/>
    <w:rsid w:val="009D45ED"/>
    <w:rsid w:val="009D4A71"/>
    <w:rsid w:val="009D4C8F"/>
    <w:rsid w:val="009D5293"/>
    <w:rsid w:val="009D558C"/>
    <w:rsid w:val="009D5902"/>
    <w:rsid w:val="009D591D"/>
    <w:rsid w:val="009D6B66"/>
    <w:rsid w:val="009D6E9E"/>
    <w:rsid w:val="009D717D"/>
    <w:rsid w:val="009D783B"/>
    <w:rsid w:val="009E0E1D"/>
    <w:rsid w:val="009E2E0C"/>
    <w:rsid w:val="009E2E1C"/>
    <w:rsid w:val="009E3080"/>
    <w:rsid w:val="009E4363"/>
    <w:rsid w:val="009E4F5C"/>
    <w:rsid w:val="009E6CA5"/>
    <w:rsid w:val="009F0186"/>
    <w:rsid w:val="009F0313"/>
    <w:rsid w:val="009F17C8"/>
    <w:rsid w:val="009F1C7A"/>
    <w:rsid w:val="009F3A2D"/>
    <w:rsid w:val="009F3CAC"/>
    <w:rsid w:val="009F4184"/>
    <w:rsid w:val="009F43CC"/>
    <w:rsid w:val="009F494A"/>
    <w:rsid w:val="009F4E8B"/>
    <w:rsid w:val="009F4E92"/>
    <w:rsid w:val="009F59F6"/>
    <w:rsid w:val="009F6FA2"/>
    <w:rsid w:val="009F718F"/>
    <w:rsid w:val="00A00BA4"/>
    <w:rsid w:val="00A018CD"/>
    <w:rsid w:val="00A02119"/>
    <w:rsid w:val="00A02161"/>
    <w:rsid w:val="00A053EE"/>
    <w:rsid w:val="00A05F35"/>
    <w:rsid w:val="00A0765C"/>
    <w:rsid w:val="00A07FBE"/>
    <w:rsid w:val="00A100C8"/>
    <w:rsid w:val="00A10B6B"/>
    <w:rsid w:val="00A11C54"/>
    <w:rsid w:val="00A11F1A"/>
    <w:rsid w:val="00A12311"/>
    <w:rsid w:val="00A12C1A"/>
    <w:rsid w:val="00A132E8"/>
    <w:rsid w:val="00A14F69"/>
    <w:rsid w:val="00A15750"/>
    <w:rsid w:val="00A1754D"/>
    <w:rsid w:val="00A204A8"/>
    <w:rsid w:val="00A222F6"/>
    <w:rsid w:val="00A23185"/>
    <w:rsid w:val="00A23E9C"/>
    <w:rsid w:val="00A2491C"/>
    <w:rsid w:val="00A258B5"/>
    <w:rsid w:val="00A25FEB"/>
    <w:rsid w:val="00A30951"/>
    <w:rsid w:val="00A30AA5"/>
    <w:rsid w:val="00A31A44"/>
    <w:rsid w:val="00A3207B"/>
    <w:rsid w:val="00A320A1"/>
    <w:rsid w:val="00A32883"/>
    <w:rsid w:val="00A336E6"/>
    <w:rsid w:val="00A34C01"/>
    <w:rsid w:val="00A34EB0"/>
    <w:rsid w:val="00A35A3D"/>
    <w:rsid w:val="00A361EC"/>
    <w:rsid w:val="00A3657F"/>
    <w:rsid w:val="00A37636"/>
    <w:rsid w:val="00A37C02"/>
    <w:rsid w:val="00A40203"/>
    <w:rsid w:val="00A40D61"/>
    <w:rsid w:val="00A41341"/>
    <w:rsid w:val="00A4251C"/>
    <w:rsid w:val="00A42CF7"/>
    <w:rsid w:val="00A42DAA"/>
    <w:rsid w:val="00A43CF5"/>
    <w:rsid w:val="00A44339"/>
    <w:rsid w:val="00A44FC3"/>
    <w:rsid w:val="00A456AA"/>
    <w:rsid w:val="00A46A25"/>
    <w:rsid w:val="00A474E8"/>
    <w:rsid w:val="00A4756A"/>
    <w:rsid w:val="00A475BA"/>
    <w:rsid w:val="00A47EAB"/>
    <w:rsid w:val="00A50314"/>
    <w:rsid w:val="00A51AB9"/>
    <w:rsid w:val="00A52627"/>
    <w:rsid w:val="00A528CB"/>
    <w:rsid w:val="00A52A25"/>
    <w:rsid w:val="00A52C7D"/>
    <w:rsid w:val="00A5315B"/>
    <w:rsid w:val="00A53A6E"/>
    <w:rsid w:val="00A5487E"/>
    <w:rsid w:val="00A55270"/>
    <w:rsid w:val="00A55C7D"/>
    <w:rsid w:val="00A55E72"/>
    <w:rsid w:val="00A569FA"/>
    <w:rsid w:val="00A5752E"/>
    <w:rsid w:val="00A57C56"/>
    <w:rsid w:val="00A605A4"/>
    <w:rsid w:val="00A621E7"/>
    <w:rsid w:val="00A62374"/>
    <w:rsid w:val="00A64695"/>
    <w:rsid w:val="00A650BD"/>
    <w:rsid w:val="00A65EB7"/>
    <w:rsid w:val="00A66CE7"/>
    <w:rsid w:val="00A676F0"/>
    <w:rsid w:val="00A70711"/>
    <w:rsid w:val="00A70A30"/>
    <w:rsid w:val="00A70A52"/>
    <w:rsid w:val="00A711A3"/>
    <w:rsid w:val="00A71472"/>
    <w:rsid w:val="00A72012"/>
    <w:rsid w:val="00A72A46"/>
    <w:rsid w:val="00A72F98"/>
    <w:rsid w:val="00A75193"/>
    <w:rsid w:val="00A76FD5"/>
    <w:rsid w:val="00A81602"/>
    <w:rsid w:val="00A81647"/>
    <w:rsid w:val="00A832B0"/>
    <w:rsid w:val="00A83D10"/>
    <w:rsid w:val="00A847D9"/>
    <w:rsid w:val="00A84E74"/>
    <w:rsid w:val="00A85C17"/>
    <w:rsid w:val="00A85E45"/>
    <w:rsid w:val="00A86375"/>
    <w:rsid w:val="00A86941"/>
    <w:rsid w:val="00A87323"/>
    <w:rsid w:val="00A87D03"/>
    <w:rsid w:val="00A9053A"/>
    <w:rsid w:val="00A90952"/>
    <w:rsid w:val="00A913CF"/>
    <w:rsid w:val="00A920F9"/>
    <w:rsid w:val="00A92F32"/>
    <w:rsid w:val="00A93842"/>
    <w:rsid w:val="00A94375"/>
    <w:rsid w:val="00A949E4"/>
    <w:rsid w:val="00A95822"/>
    <w:rsid w:val="00A95C83"/>
    <w:rsid w:val="00A96E55"/>
    <w:rsid w:val="00AA035A"/>
    <w:rsid w:val="00AA12C5"/>
    <w:rsid w:val="00AA12CF"/>
    <w:rsid w:val="00AA1A53"/>
    <w:rsid w:val="00AA3139"/>
    <w:rsid w:val="00AA389B"/>
    <w:rsid w:val="00AA63CD"/>
    <w:rsid w:val="00AA6ACC"/>
    <w:rsid w:val="00AA7459"/>
    <w:rsid w:val="00AA7D30"/>
    <w:rsid w:val="00AB0A87"/>
    <w:rsid w:val="00AB0C4F"/>
    <w:rsid w:val="00AB0CB3"/>
    <w:rsid w:val="00AB0ED9"/>
    <w:rsid w:val="00AB11A2"/>
    <w:rsid w:val="00AB150A"/>
    <w:rsid w:val="00AB28C0"/>
    <w:rsid w:val="00AB3BB4"/>
    <w:rsid w:val="00AB4E2C"/>
    <w:rsid w:val="00AB59E9"/>
    <w:rsid w:val="00AB5F89"/>
    <w:rsid w:val="00AB64D5"/>
    <w:rsid w:val="00AB771E"/>
    <w:rsid w:val="00AB785D"/>
    <w:rsid w:val="00AB7DE2"/>
    <w:rsid w:val="00AC0D3D"/>
    <w:rsid w:val="00AC168A"/>
    <w:rsid w:val="00AC41EA"/>
    <w:rsid w:val="00AC531F"/>
    <w:rsid w:val="00AC6146"/>
    <w:rsid w:val="00AC65F0"/>
    <w:rsid w:val="00AC71A5"/>
    <w:rsid w:val="00AD0A17"/>
    <w:rsid w:val="00AD1366"/>
    <w:rsid w:val="00AD1D80"/>
    <w:rsid w:val="00AD373E"/>
    <w:rsid w:val="00AD3BDE"/>
    <w:rsid w:val="00AD43CD"/>
    <w:rsid w:val="00AD500E"/>
    <w:rsid w:val="00AD51D3"/>
    <w:rsid w:val="00AD54E9"/>
    <w:rsid w:val="00AD57C2"/>
    <w:rsid w:val="00AD5DC0"/>
    <w:rsid w:val="00AD6A9F"/>
    <w:rsid w:val="00AD74A8"/>
    <w:rsid w:val="00AD7969"/>
    <w:rsid w:val="00AE0452"/>
    <w:rsid w:val="00AE1D8C"/>
    <w:rsid w:val="00AE2578"/>
    <w:rsid w:val="00AE27B0"/>
    <w:rsid w:val="00AE284B"/>
    <w:rsid w:val="00AE2BC8"/>
    <w:rsid w:val="00AE3621"/>
    <w:rsid w:val="00AE4A59"/>
    <w:rsid w:val="00AE53A3"/>
    <w:rsid w:val="00AE59AF"/>
    <w:rsid w:val="00AE7677"/>
    <w:rsid w:val="00AE7F62"/>
    <w:rsid w:val="00AF01C5"/>
    <w:rsid w:val="00AF27AA"/>
    <w:rsid w:val="00AF2B5F"/>
    <w:rsid w:val="00AF309D"/>
    <w:rsid w:val="00AF3361"/>
    <w:rsid w:val="00AF3F13"/>
    <w:rsid w:val="00AF4B0F"/>
    <w:rsid w:val="00AF550A"/>
    <w:rsid w:val="00AF5A5E"/>
    <w:rsid w:val="00AF5B36"/>
    <w:rsid w:val="00AF5F29"/>
    <w:rsid w:val="00AF5FCB"/>
    <w:rsid w:val="00AF64A9"/>
    <w:rsid w:val="00AF65D2"/>
    <w:rsid w:val="00B0087E"/>
    <w:rsid w:val="00B00A3D"/>
    <w:rsid w:val="00B00C5F"/>
    <w:rsid w:val="00B01628"/>
    <w:rsid w:val="00B0231C"/>
    <w:rsid w:val="00B02506"/>
    <w:rsid w:val="00B0269A"/>
    <w:rsid w:val="00B02910"/>
    <w:rsid w:val="00B03995"/>
    <w:rsid w:val="00B041BA"/>
    <w:rsid w:val="00B054CE"/>
    <w:rsid w:val="00B064DC"/>
    <w:rsid w:val="00B07D5B"/>
    <w:rsid w:val="00B10666"/>
    <w:rsid w:val="00B10A9B"/>
    <w:rsid w:val="00B110CD"/>
    <w:rsid w:val="00B1164C"/>
    <w:rsid w:val="00B1240D"/>
    <w:rsid w:val="00B12481"/>
    <w:rsid w:val="00B130A5"/>
    <w:rsid w:val="00B1349C"/>
    <w:rsid w:val="00B134BF"/>
    <w:rsid w:val="00B13AD8"/>
    <w:rsid w:val="00B141D8"/>
    <w:rsid w:val="00B16215"/>
    <w:rsid w:val="00B20804"/>
    <w:rsid w:val="00B20840"/>
    <w:rsid w:val="00B20A80"/>
    <w:rsid w:val="00B20C59"/>
    <w:rsid w:val="00B213FA"/>
    <w:rsid w:val="00B216DF"/>
    <w:rsid w:val="00B2401A"/>
    <w:rsid w:val="00B26876"/>
    <w:rsid w:val="00B27CD2"/>
    <w:rsid w:val="00B302DA"/>
    <w:rsid w:val="00B305B9"/>
    <w:rsid w:val="00B3147F"/>
    <w:rsid w:val="00B314F5"/>
    <w:rsid w:val="00B31657"/>
    <w:rsid w:val="00B31F5F"/>
    <w:rsid w:val="00B32A2E"/>
    <w:rsid w:val="00B34B1D"/>
    <w:rsid w:val="00B353DD"/>
    <w:rsid w:val="00B35D07"/>
    <w:rsid w:val="00B4007B"/>
    <w:rsid w:val="00B40217"/>
    <w:rsid w:val="00B403DE"/>
    <w:rsid w:val="00B403E1"/>
    <w:rsid w:val="00B41B37"/>
    <w:rsid w:val="00B41DE6"/>
    <w:rsid w:val="00B41E6F"/>
    <w:rsid w:val="00B42504"/>
    <w:rsid w:val="00B43EC6"/>
    <w:rsid w:val="00B4416C"/>
    <w:rsid w:val="00B456CC"/>
    <w:rsid w:val="00B46531"/>
    <w:rsid w:val="00B4753C"/>
    <w:rsid w:val="00B47A03"/>
    <w:rsid w:val="00B47AF1"/>
    <w:rsid w:val="00B47DF4"/>
    <w:rsid w:val="00B47EF0"/>
    <w:rsid w:val="00B50C96"/>
    <w:rsid w:val="00B51801"/>
    <w:rsid w:val="00B51908"/>
    <w:rsid w:val="00B51A27"/>
    <w:rsid w:val="00B52029"/>
    <w:rsid w:val="00B53E60"/>
    <w:rsid w:val="00B53F92"/>
    <w:rsid w:val="00B547ED"/>
    <w:rsid w:val="00B5542B"/>
    <w:rsid w:val="00B568F2"/>
    <w:rsid w:val="00B56A9C"/>
    <w:rsid w:val="00B574FF"/>
    <w:rsid w:val="00B5798F"/>
    <w:rsid w:val="00B57ADA"/>
    <w:rsid w:val="00B603BA"/>
    <w:rsid w:val="00B60A97"/>
    <w:rsid w:val="00B60CE5"/>
    <w:rsid w:val="00B6152F"/>
    <w:rsid w:val="00B6209E"/>
    <w:rsid w:val="00B620CE"/>
    <w:rsid w:val="00B62F1A"/>
    <w:rsid w:val="00B64E01"/>
    <w:rsid w:val="00B64FC9"/>
    <w:rsid w:val="00B652E7"/>
    <w:rsid w:val="00B6551F"/>
    <w:rsid w:val="00B6575A"/>
    <w:rsid w:val="00B6579F"/>
    <w:rsid w:val="00B67D0F"/>
    <w:rsid w:val="00B6F472"/>
    <w:rsid w:val="00B70066"/>
    <w:rsid w:val="00B710ED"/>
    <w:rsid w:val="00B728A4"/>
    <w:rsid w:val="00B73534"/>
    <w:rsid w:val="00B7367D"/>
    <w:rsid w:val="00B73CD2"/>
    <w:rsid w:val="00B747EF"/>
    <w:rsid w:val="00B750B0"/>
    <w:rsid w:val="00B761D8"/>
    <w:rsid w:val="00B7648F"/>
    <w:rsid w:val="00B764FE"/>
    <w:rsid w:val="00B76517"/>
    <w:rsid w:val="00B77A6D"/>
    <w:rsid w:val="00B80E20"/>
    <w:rsid w:val="00B8152A"/>
    <w:rsid w:val="00B81ECE"/>
    <w:rsid w:val="00B82756"/>
    <w:rsid w:val="00B82BE8"/>
    <w:rsid w:val="00B82DAF"/>
    <w:rsid w:val="00B82DE4"/>
    <w:rsid w:val="00B86149"/>
    <w:rsid w:val="00B87413"/>
    <w:rsid w:val="00B9077C"/>
    <w:rsid w:val="00B90F38"/>
    <w:rsid w:val="00B9202C"/>
    <w:rsid w:val="00B92D01"/>
    <w:rsid w:val="00B92E1C"/>
    <w:rsid w:val="00B93318"/>
    <w:rsid w:val="00B93486"/>
    <w:rsid w:val="00B9362B"/>
    <w:rsid w:val="00B9386B"/>
    <w:rsid w:val="00B938DE"/>
    <w:rsid w:val="00B93B80"/>
    <w:rsid w:val="00B945CC"/>
    <w:rsid w:val="00B94EC6"/>
    <w:rsid w:val="00B956E4"/>
    <w:rsid w:val="00B95A22"/>
    <w:rsid w:val="00B95B3D"/>
    <w:rsid w:val="00B962A6"/>
    <w:rsid w:val="00B9657E"/>
    <w:rsid w:val="00B96CCB"/>
    <w:rsid w:val="00B97327"/>
    <w:rsid w:val="00BA0576"/>
    <w:rsid w:val="00BA08F2"/>
    <w:rsid w:val="00BA09FB"/>
    <w:rsid w:val="00BA1261"/>
    <w:rsid w:val="00BA1B6C"/>
    <w:rsid w:val="00BA1E99"/>
    <w:rsid w:val="00BA2E08"/>
    <w:rsid w:val="00BA43E1"/>
    <w:rsid w:val="00BA4F6B"/>
    <w:rsid w:val="00BA5EC5"/>
    <w:rsid w:val="00BA68AF"/>
    <w:rsid w:val="00BA7CFB"/>
    <w:rsid w:val="00BB063C"/>
    <w:rsid w:val="00BB15CE"/>
    <w:rsid w:val="00BB1A58"/>
    <w:rsid w:val="00BB271C"/>
    <w:rsid w:val="00BB2B28"/>
    <w:rsid w:val="00BB2C35"/>
    <w:rsid w:val="00BB2C9D"/>
    <w:rsid w:val="00BB2E84"/>
    <w:rsid w:val="00BB3900"/>
    <w:rsid w:val="00BB408D"/>
    <w:rsid w:val="00BB5472"/>
    <w:rsid w:val="00BB6716"/>
    <w:rsid w:val="00BB6CC3"/>
    <w:rsid w:val="00BB6E6B"/>
    <w:rsid w:val="00BB7282"/>
    <w:rsid w:val="00BB78D2"/>
    <w:rsid w:val="00BC0AC8"/>
    <w:rsid w:val="00BC0D27"/>
    <w:rsid w:val="00BC157F"/>
    <w:rsid w:val="00BC1B2B"/>
    <w:rsid w:val="00BC1EEF"/>
    <w:rsid w:val="00BC22B6"/>
    <w:rsid w:val="00BC2D44"/>
    <w:rsid w:val="00BC34D9"/>
    <w:rsid w:val="00BC4C81"/>
    <w:rsid w:val="00BC4F47"/>
    <w:rsid w:val="00BC55CB"/>
    <w:rsid w:val="00BC5BAF"/>
    <w:rsid w:val="00BC711D"/>
    <w:rsid w:val="00BC7530"/>
    <w:rsid w:val="00BC76BF"/>
    <w:rsid w:val="00BC7FC5"/>
    <w:rsid w:val="00BD03C8"/>
    <w:rsid w:val="00BD05E0"/>
    <w:rsid w:val="00BD0DC1"/>
    <w:rsid w:val="00BD1699"/>
    <w:rsid w:val="00BD27C2"/>
    <w:rsid w:val="00BD291A"/>
    <w:rsid w:val="00BD2E7A"/>
    <w:rsid w:val="00BD3AA0"/>
    <w:rsid w:val="00BD3BBA"/>
    <w:rsid w:val="00BD3E98"/>
    <w:rsid w:val="00BD40D2"/>
    <w:rsid w:val="00BD45E3"/>
    <w:rsid w:val="00BD4A5F"/>
    <w:rsid w:val="00BD4A82"/>
    <w:rsid w:val="00BD4F43"/>
    <w:rsid w:val="00BD59D2"/>
    <w:rsid w:val="00BD5C85"/>
    <w:rsid w:val="00BD68C6"/>
    <w:rsid w:val="00BD76E9"/>
    <w:rsid w:val="00BD77A1"/>
    <w:rsid w:val="00BD7B3A"/>
    <w:rsid w:val="00BD7CAE"/>
    <w:rsid w:val="00BD7F33"/>
    <w:rsid w:val="00BE02E7"/>
    <w:rsid w:val="00BE0460"/>
    <w:rsid w:val="00BE0E57"/>
    <w:rsid w:val="00BE0EEC"/>
    <w:rsid w:val="00BE1919"/>
    <w:rsid w:val="00BE23E5"/>
    <w:rsid w:val="00BE2609"/>
    <w:rsid w:val="00BE31BA"/>
    <w:rsid w:val="00BE5217"/>
    <w:rsid w:val="00BE5349"/>
    <w:rsid w:val="00BE606E"/>
    <w:rsid w:val="00BE62EB"/>
    <w:rsid w:val="00BE6E39"/>
    <w:rsid w:val="00BF125D"/>
    <w:rsid w:val="00BF2D75"/>
    <w:rsid w:val="00BF33CC"/>
    <w:rsid w:val="00BF363C"/>
    <w:rsid w:val="00BF366A"/>
    <w:rsid w:val="00BF377E"/>
    <w:rsid w:val="00BF448D"/>
    <w:rsid w:val="00BF4821"/>
    <w:rsid w:val="00BF4C6F"/>
    <w:rsid w:val="00BF5E33"/>
    <w:rsid w:val="00BF61B3"/>
    <w:rsid w:val="00BF6493"/>
    <w:rsid w:val="00BF71F2"/>
    <w:rsid w:val="00C0041C"/>
    <w:rsid w:val="00C005B9"/>
    <w:rsid w:val="00C00B38"/>
    <w:rsid w:val="00C00C98"/>
    <w:rsid w:val="00C017C9"/>
    <w:rsid w:val="00C02BB7"/>
    <w:rsid w:val="00C0481B"/>
    <w:rsid w:val="00C04D3C"/>
    <w:rsid w:val="00C04E0A"/>
    <w:rsid w:val="00C053F7"/>
    <w:rsid w:val="00C05F2B"/>
    <w:rsid w:val="00C105B8"/>
    <w:rsid w:val="00C150D6"/>
    <w:rsid w:val="00C157DA"/>
    <w:rsid w:val="00C15D13"/>
    <w:rsid w:val="00C15E65"/>
    <w:rsid w:val="00C162FF"/>
    <w:rsid w:val="00C17A3C"/>
    <w:rsid w:val="00C212AE"/>
    <w:rsid w:val="00C213BF"/>
    <w:rsid w:val="00C2295C"/>
    <w:rsid w:val="00C22BEE"/>
    <w:rsid w:val="00C2357C"/>
    <w:rsid w:val="00C238F8"/>
    <w:rsid w:val="00C23DF8"/>
    <w:rsid w:val="00C24111"/>
    <w:rsid w:val="00C24732"/>
    <w:rsid w:val="00C25E3D"/>
    <w:rsid w:val="00C26131"/>
    <w:rsid w:val="00C26228"/>
    <w:rsid w:val="00C26F89"/>
    <w:rsid w:val="00C30157"/>
    <w:rsid w:val="00C305E3"/>
    <w:rsid w:val="00C3166C"/>
    <w:rsid w:val="00C31AAA"/>
    <w:rsid w:val="00C31D7A"/>
    <w:rsid w:val="00C32C7A"/>
    <w:rsid w:val="00C3475A"/>
    <w:rsid w:val="00C34B28"/>
    <w:rsid w:val="00C34CD0"/>
    <w:rsid w:val="00C34E99"/>
    <w:rsid w:val="00C34F14"/>
    <w:rsid w:val="00C35072"/>
    <w:rsid w:val="00C36450"/>
    <w:rsid w:val="00C36A54"/>
    <w:rsid w:val="00C37619"/>
    <w:rsid w:val="00C376A1"/>
    <w:rsid w:val="00C403D0"/>
    <w:rsid w:val="00C40CFC"/>
    <w:rsid w:val="00C41070"/>
    <w:rsid w:val="00C414CB"/>
    <w:rsid w:val="00C41A20"/>
    <w:rsid w:val="00C41B2A"/>
    <w:rsid w:val="00C42AA7"/>
    <w:rsid w:val="00C42C52"/>
    <w:rsid w:val="00C42D5E"/>
    <w:rsid w:val="00C43242"/>
    <w:rsid w:val="00C432EA"/>
    <w:rsid w:val="00C4355E"/>
    <w:rsid w:val="00C46575"/>
    <w:rsid w:val="00C46ABE"/>
    <w:rsid w:val="00C4729B"/>
    <w:rsid w:val="00C47A57"/>
    <w:rsid w:val="00C47DB4"/>
    <w:rsid w:val="00C50850"/>
    <w:rsid w:val="00C511B0"/>
    <w:rsid w:val="00C511F7"/>
    <w:rsid w:val="00C52326"/>
    <w:rsid w:val="00C53066"/>
    <w:rsid w:val="00C54806"/>
    <w:rsid w:val="00C54B34"/>
    <w:rsid w:val="00C54CBD"/>
    <w:rsid w:val="00C55212"/>
    <w:rsid w:val="00C557A3"/>
    <w:rsid w:val="00C56090"/>
    <w:rsid w:val="00C5703A"/>
    <w:rsid w:val="00C57655"/>
    <w:rsid w:val="00C57A9E"/>
    <w:rsid w:val="00C57DB0"/>
    <w:rsid w:val="00C6024F"/>
    <w:rsid w:val="00C609C4"/>
    <w:rsid w:val="00C60B3A"/>
    <w:rsid w:val="00C61B16"/>
    <w:rsid w:val="00C622D7"/>
    <w:rsid w:val="00C62A6F"/>
    <w:rsid w:val="00C62AFB"/>
    <w:rsid w:val="00C62C62"/>
    <w:rsid w:val="00C63373"/>
    <w:rsid w:val="00C63443"/>
    <w:rsid w:val="00C64445"/>
    <w:rsid w:val="00C64B0E"/>
    <w:rsid w:val="00C65A7C"/>
    <w:rsid w:val="00C6637B"/>
    <w:rsid w:val="00C667E0"/>
    <w:rsid w:val="00C6708C"/>
    <w:rsid w:val="00C71158"/>
    <w:rsid w:val="00C720AA"/>
    <w:rsid w:val="00C7222E"/>
    <w:rsid w:val="00C7231E"/>
    <w:rsid w:val="00C737F8"/>
    <w:rsid w:val="00C73B89"/>
    <w:rsid w:val="00C7567A"/>
    <w:rsid w:val="00C763C3"/>
    <w:rsid w:val="00C7670D"/>
    <w:rsid w:val="00C76E03"/>
    <w:rsid w:val="00C77926"/>
    <w:rsid w:val="00C77D07"/>
    <w:rsid w:val="00C8110E"/>
    <w:rsid w:val="00C8179F"/>
    <w:rsid w:val="00C82350"/>
    <w:rsid w:val="00C8322E"/>
    <w:rsid w:val="00C83365"/>
    <w:rsid w:val="00C838D4"/>
    <w:rsid w:val="00C83F61"/>
    <w:rsid w:val="00C84A64"/>
    <w:rsid w:val="00C84DFB"/>
    <w:rsid w:val="00C85FBA"/>
    <w:rsid w:val="00C866D8"/>
    <w:rsid w:val="00C86E5B"/>
    <w:rsid w:val="00C87311"/>
    <w:rsid w:val="00C8764F"/>
    <w:rsid w:val="00C87A8A"/>
    <w:rsid w:val="00C90249"/>
    <w:rsid w:val="00C903A7"/>
    <w:rsid w:val="00C90BC5"/>
    <w:rsid w:val="00C919DA"/>
    <w:rsid w:val="00C91DE5"/>
    <w:rsid w:val="00C9282E"/>
    <w:rsid w:val="00C93818"/>
    <w:rsid w:val="00C94469"/>
    <w:rsid w:val="00C94A81"/>
    <w:rsid w:val="00C94A86"/>
    <w:rsid w:val="00C94BEA"/>
    <w:rsid w:val="00C955E0"/>
    <w:rsid w:val="00C968E5"/>
    <w:rsid w:val="00C9722B"/>
    <w:rsid w:val="00C9726C"/>
    <w:rsid w:val="00C97C64"/>
    <w:rsid w:val="00CA0DF1"/>
    <w:rsid w:val="00CA30B2"/>
    <w:rsid w:val="00CA3247"/>
    <w:rsid w:val="00CA3D10"/>
    <w:rsid w:val="00CA402A"/>
    <w:rsid w:val="00CA410D"/>
    <w:rsid w:val="00CA4D6C"/>
    <w:rsid w:val="00CA597F"/>
    <w:rsid w:val="00CA5C6C"/>
    <w:rsid w:val="00CA6056"/>
    <w:rsid w:val="00CA6089"/>
    <w:rsid w:val="00CA68BB"/>
    <w:rsid w:val="00CA7783"/>
    <w:rsid w:val="00CA786A"/>
    <w:rsid w:val="00CB0409"/>
    <w:rsid w:val="00CB0D6C"/>
    <w:rsid w:val="00CB12D0"/>
    <w:rsid w:val="00CB1FD7"/>
    <w:rsid w:val="00CB296A"/>
    <w:rsid w:val="00CB39BB"/>
    <w:rsid w:val="00CB4DFB"/>
    <w:rsid w:val="00CB566F"/>
    <w:rsid w:val="00CB5C26"/>
    <w:rsid w:val="00CB79F9"/>
    <w:rsid w:val="00CC0023"/>
    <w:rsid w:val="00CC0818"/>
    <w:rsid w:val="00CC0E24"/>
    <w:rsid w:val="00CC41A5"/>
    <w:rsid w:val="00CC46C2"/>
    <w:rsid w:val="00CC498E"/>
    <w:rsid w:val="00CC6008"/>
    <w:rsid w:val="00CC61E0"/>
    <w:rsid w:val="00CC6392"/>
    <w:rsid w:val="00CC66FC"/>
    <w:rsid w:val="00CC6C92"/>
    <w:rsid w:val="00CC6DDB"/>
    <w:rsid w:val="00CC7FDD"/>
    <w:rsid w:val="00CD11D5"/>
    <w:rsid w:val="00CD1BA1"/>
    <w:rsid w:val="00CD281A"/>
    <w:rsid w:val="00CD2B4C"/>
    <w:rsid w:val="00CD2F73"/>
    <w:rsid w:val="00CD3E08"/>
    <w:rsid w:val="00CD45DB"/>
    <w:rsid w:val="00CD566D"/>
    <w:rsid w:val="00CD6D96"/>
    <w:rsid w:val="00CD71D9"/>
    <w:rsid w:val="00CE0F2C"/>
    <w:rsid w:val="00CE194E"/>
    <w:rsid w:val="00CE2E91"/>
    <w:rsid w:val="00CE34A9"/>
    <w:rsid w:val="00CE3AA6"/>
    <w:rsid w:val="00CE3D1F"/>
    <w:rsid w:val="00CE5CA5"/>
    <w:rsid w:val="00CE6732"/>
    <w:rsid w:val="00CE69C6"/>
    <w:rsid w:val="00CE6B7D"/>
    <w:rsid w:val="00CE6F70"/>
    <w:rsid w:val="00CE74CA"/>
    <w:rsid w:val="00CF03B6"/>
    <w:rsid w:val="00CF0B1A"/>
    <w:rsid w:val="00CF13B1"/>
    <w:rsid w:val="00CF1D3B"/>
    <w:rsid w:val="00CF2C2B"/>
    <w:rsid w:val="00CF30D4"/>
    <w:rsid w:val="00CF3182"/>
    <w:rsid w:val="00CF3418"/>
    <w:rsid w:val="00CF41D1"/>
    <w:rsid w:val="00CF4C4A"/>
    <w:rsid w:val="00CF616A"/>
    <w:rsid w:val="00CF768D"/>
    <w:rsid w:val="00CF7852"/>
    <w:rsid w:val="00CF7FCF"/>
    <w:rsid w:val="00D006E9"/>
    <w:rsid w:val="00D00BCF"/>
    <w:rsid w:val="00D00FEE"/>
    <w:rsid w:val="00D01984"/>
    <w:rsid w:val="00D01EE6"/>
    <w:rsid w:val="00D02207"/>
    <w:rsid w:val="00D02562"/>
    <w:rsid w:val="00D025D2"/>
    <w:rsid w:val="00D0499E"/>
    <w:rsid w:val="00D04E74"/>
    <w:rsid w:val="00D05F6A"/>
    <w:rsid w:val="00D06E6A"/>
    <w:rsid w:val="00D070DF"/>
    <w:rsid w:val="00D07518"/>
    <w:rsid w:val="00D07752"/>
    <w:rsid w:val="00D07A56"/>
    <w:rsid w:val="00D10C75"/>
    <w:rsid w:val="00D11110"/>
    <w:rsid w:val="00D11511"/>
    <w:rsid w:val="00D129CC"/>
    <w:rsid w:val="00D13388"/>
    <w:rsid w:val="00D14A11"/>
    <w:rsid w:val="00D1552D"/>
    <w:rsid w:val="00D16829"/>
    <w:rsid w:val="00D168F5"/>
    <w:rsid w:val="00D16996"/>
    <w:rsid w:val="00D17227"/>
    <w:rsid w:val="00D208AE"/>
    <w:rsid w:val="00D21D27"/>
    <w:rsid w:val="00D24C3B"/>
    <w:rsid w:val="00D256B4"/>
    <w:rsid w:val="00D25A0E"/>
    <w:rsid w:val="00D26F73"/>
    <w:rsid w:val="00D275E0"/>
    <w:rsid w:val="00D279B9"/>
    <w:rsid w:val="00D27AEE"/>
    <w:rsid w:val="00D30090"/>
    <w:rsid w:val="00D30193"/>
    <w:rsid w:val="00D315F2"/>
    <w:rsid w:val="00D319D4"/>
    <w:rsid w:val="00D31A77"/>
    <w:rsid w:val="00D31C56"/>
    <w:rsid w:val="00D31C93"/>
    <w:rsid w:val="00D31FF2"/>
    <w:rsid w:val="00D33224"/>
    <w:rsid w:val="00D33E4A"/>
    <w:rsid w:val="00D34827"/>
    <w:rsid w:val="00D34961"/>
    <w:rsid w:val="00D34976"/>
    <w:rsid w:val="00D354E1"/>
    <w:rsid w:val="00D35A00"/>
    <w:rsid w:val="00D36351"/>
    <w:rsid w:val="00D3692C"/>
    <w:rsid w:val="00D37701"/>
    <w:rsid w:val="00D37DC9"/>
    <w:rsid w:val="00D37F1A"/>
    <w:rsid w:val="00D400A7"/>
    <w:rsid w:val="00D40265"/>
    <w:rsid w:val="00D40BEA"/>
    <w:rsid w:val="00D410D8"/>
    <w:rsid w:val="00D4183A"/>
    <w:rsid w:val="00D41A5B"/>
    <w:rsid w:val="00D42BB8"/>
    <w:rsid w:val="00D435D6"/>
    <w:rsid w:val="00D44086"/>
    <w:rsid w:val="00D4423A"/>
    <w:rsid w:val="00D44407"/>
    <w:rsid w:val="00D4476C"/>
    <w:rsid w:val="00D45AC5"/>
    <w:rsid w:val="00D45D6D"/>
    <w:rsid w:val="00D502F1"/>
    <w:rsid w:val="00D504AD"/>
    <w:rsid w:val="00D506FD"/>
    <w:rsid w:val="00D50E93"/>
    <w:rsid w:val="00D525D5"/>
    <w:rsid w:val="00D527A9"/>
    <w:rsid w:val="00D52D64"/>
    <w:rsid w:val="00D53269"/>
    <w:rsid w:val="00D5330C"/>
    <w:rsid w:val="00D535BD"/>
    <w:rsid w:val="00D54ED3"/>
    <w:rsid w:val="00D55401"/>
    <w:rsid w:val="00D55795"/>
    <w:rsid w:val="00D573FA"/>
    <w:rsid w:val="00D605FD"/>
    <w:rsid w:val="00D60C12"/>
    <w:rsid w:val="00D6515E"/>
    <w:rsid w:val="00D6539B"/>
    <w:rsid w:val="00D65E47"/>
    <w:rsid w:val="00D71C1F"/>
    <w:rsid w:val="00D72070"/>
    <w:rsid w:val="00D72233"/>
    <w:rsid w:val="00D72B95"/>
    <w:rsid w:val="00D72C11"/>
    <w:rsid w:val="00D73572"/>
    <w:rsid w:val="00D73970"/>
    <w:rsid w:val="00D73C90"/>
    <w:rsid w:val="00D75811"/>
    <w:rsid w:val="00D76570"/>
    <w:rsid w:val="00D76D79"/>
    <w:rsid w:val="00D80AE9"/>
    <w:rsid w:val="00D8239A"/>
    <w:rsid w:val="00D827A4"/>
    <w:rsid w:val="00D82E3D"/>
    <w:rsid w:val="00D83532"/>
    <w:rsid w:val="00D84470"/>
    <w:rsid w:val="00D854A5"/>
    <w:rsid w:val="00D86D82"/>
    <w:rsid w:val="00D878D9"/>
    <w:rsid w:val="00D879CB"/>
    <w:rsid w:val="00D9072A"/>
    <w:rsid w:val="00D92186"/>
    <w:rsid w:val="00D92973"/>
    <w:rsid w:val="00D92AEE"/>
    <w:rsid w:val="00D92BBF"/>
    <w:rsid w:val="00D92F12"/>
    <w:rsid w:val="00D93742"/>
    <w:rsid w:val="00D93D72"/>
    <w:rsid w:val="00D94646"/>
    <w:rsid w:val="00D94B69"/>
    <w:rsid w:val="00D94D6C"/>
    <w:rsid w:val="00D94DD8"/>
    <w:rsid w:val="00D94F3E"/>
    <w:rsid w:val="00D9605A"/>
    <w:rsid w:val="00D96378"/>
    <w:rsid w:val="00D96548"/>
    <w:rsid w:val="00D96E97"/>
    <w:rsid w:val="00D9773A"/>
    <w:rsid w:val="00D9782A"/>
    <w:rsid w:val="00D97A15"/>
    <w:rsid w:val="00D97D3F"/>
    <w:rsid w:val="00DA06D1"/>
    <w:rsid w:val="00DA1212"/>
    <w:rsid w:val="00DA12FB"/>
    <w:rsid w:val="00DA13CD"/>
    <w:rsid w:val="00DA15CB"/>
    <w:rsid w:val="00DA23E0"/>
    <w:rsid w:val="00DA30FD"/>
    <w:rsid w:val="00DA4110"/>
    <w:rsid w:val="00DA4233"/>
    <w:rsid w:val="00DA5477"/>
    <w:rsid w:val="00DA5D4F"/>
    <w:rsid w:val="00DA6644"/>
    <w:rsid w:val="00DA6B7A"/>
    <w:rsid w:val="00DB071C"/>
    <w:rsid w:val="00DB089D"/>
    <w:rsid w:val="00DB1569"/>
    <w:rsid w:val="00DB1E86"/>
    <w:rsid w:val="00DB2679"/>
    <w:rsid w:val="00DB284E"/>
    <w:rsid w:val="00DB298B"/>
    <w:rsid w:val="00DB34F4"/>
    <w:rsid w:val="00DB4704"/>
    <w:rsid w:val="00DB6178"/>
    <w:rsid w:val="00DB67B4"/>
    <w:rsid w:val="00DB7831"/>
    <w:rsid w:val="00DB7A3A"/>
    <w:rsid w:val="00DB7EA9"/>
    <w:rsid w:val="00DB7FE7"/>
    <w:rsid w:val="00DC03D9"/>
    <w:rsid w:val="00DC095C"/>
    <w:rsid w:val="00DC1C01"/>
    <w:rsid w:val="00DC2EA4"/>
    <w:rsid w:val="00DC3377"/>
    <w:rsid w:val="00DC3F30"/>
    <w:rsid w:val="00DC50DC"/>
    <w:rsid w:val="00DC5788"/>
    <w:rsid w:val="00DC5C3C"/>
    <w:rsid w:val="00DC5F74"/>
    <w:rsid w:val="00DC5FD9"/>
    <w:rsid w:val="00DC63C9"/>
    <w:rsid w:val="00DC6634"/>
    <w:rsid w:val="00DC6A66"/>
    <w:rsid w:val="00DC6E10"/>
    <w:rsid w:val="00DC7618"/>
    <w:rsid w:val="00DC790B"/>
    <w:rsid w:val="00DC7912"/>
    <w:rsid w:val="00DD02CB"/>
    <w:rsid w:val="00DD1918"/>
    <w:rsid w:val="00DD2C5A"/>
    <w:rsid w:val="00DD4830"/>
    <w:rsid w:val="00DD4D9D"/>
    <w:rsid w:val="00DD57A4"/>
    <w:rsid w:val="00DD6840"/>
    <w:rsid w:val="00DD79F1"/>
    <w:rsid w:val="00DE04A6"/>
    <w:rsid w:val="00DE13B4"/>
    <w:rsid w:val="00DE20C8"/>
    <w:rsid w:val="00DE2D9E"/>
    <w:rsid w:val="00DE366E"/>
    <w:rsid w:val="00DE37F9"/>
    <w:rsid w:val="00DE4128"/>
    <w:rsid w:val="00DE4ED2"/>
    <w:rsid w:val="00DE5785"/>
    <w:rsid w:val="00DE57EF"/>
    <w:rsid w:val="00DE5F42"/>
    <w:rsid w:val="00DE5FEF"/>
    <w:rsid w:val="00DE64BE"/>
    <w:rsid w:val="00DE718A"/>
    <w:rsid w:val="00DF11BF"/>
    <w:rsid w:val="00DF16A2"/>
    <w:rsid w:val="00DF2818"/>
    <w:rsid w:val="00DF36AD"/>
    <w:rsid w:val="00DF4FB4"/>
    <w:rsid w:val="00DF525D"/>
    <w:rsid w:val="00DF6629"/>
    <w:rsid w:val="00DF74B2"/>
    <w:rsid w:val="00DF7E1B"/>
    <w:rsid w:val="00E006C8"/>
    <w:rsid w:val="00E00A79"/>
    <w:rsid w:val="00E02341"/>
    <w:rsid w:val="00E0296A"/>
    <w:rsid w:val="00E02CF8"/>
    <w:rsid w:val="00E031D2"/>
    <w:rsid w:val="00E03BBE"/>
    <w:rsid w:val="00E03C2F"/>
    <w:rsid w:val="00E04519"/>
    <w:rsid w:val="00E04640"/>
    <w:rsid w:val="00E04F5B"/>
    <w:rsid w:val="00E05749"/>
    <w:rsid w:val="00E057EF"/>
    <w:rsid w:val="00E06C70"/>
    <w:rsid w:val="00E0730F"/>
    <w:rsid w:val="00E07C03"/>
    <w:rsid w:val="00E101F9"/>
    <w:rsid w:val="00E10207"/>
    <w:rsid w:val="00E1033D"/>
    <w:rsid w:val="00E10626"/>
    <w:rsid w:val="00E112DA"/>
    <w:rsid w:val="00E117F9"/>
    <w:rsid w:val="00E12103"/>
    <w:rsid w:val="00E121C2"/>
    <w:rsid w:val="00E12523"/>
    <w:rsid w:val="00E13B69"/>
    <w:rsid w:val="00E14A87"/>
    <w:rsid w:val="00E1575A"/>
    <w:rsid w:val="00E158C8"/>
    <w:rsid w:val="00E15B31"/>
    <w:rsid w:val="00E1694F"/>
    <w:rsid w:val="00E16974"/>
    <w:rsid w:val="00E2013E"/>
    <w:rsid w:val="00E204E8"/>
    <w:rsid w:val="00E208DD"/>
    <w:rsid w:val="00E20B92"/>
    <w:rsid w:val="00E20C28"/>
    <w:rsid w:val="00E2167C"/>
    <w:rsid w:val="00E21B81"/>
    <w:rsid w:val="00E21F06"/>
    <w:rsid w:val="00E21FAE"/>
    <w:rsid w:val="00E23B5D"/>
    <w:rsid w:val="00E24A86"/>
    <w:rsid w:val="00E250AF"/>
    <w:rsid w:val="00E253A3"/>
    <w:rsid w:val="00E25B24"/>
    <w:rsid w:val="00E25D7B"/>
    <w:rsid w:val="00E2656F"/>
    <w:rsid w:val="00E26C1A"/>
    <w:rsid w:val="00E26D63"/>
    <w:rsid w:val="00E30584"/>
    <w:rsid w:val="00E3177A"/>
    <w:rsid w:val="00E32209"/>
    <w:rsid w:val="00E32262"/>
    <w:rsid w:val="00E322E4"/>
    <w:rsid w:val="00E324E2"/>
    <w:rsid w:val="00E33917"/>
    <w:rsid w:val="00E33C63"/>
    <w:rsid w:val="00E34847"/>
    <w:rsid w:val="00E348B1"/>
    <w:rsid w:val="00E34C2E"/>
    <w:rsid w:val="00E350F6"/>
    <w:rsid w:val="00E35316"/>
    <w:rsid w:val="00E356E5"/>
    <w:rsid w:val="00E367B1"/>
    <w:rsid w:val="00E36B67"/>
    <w:rsid w:val="00E36E23"/>
    <w:rsid w:val="00E36F2F"/>
    <w:rsid w:val="00E37E53"/>
    <w:rsid w:val="00E40237"/>
    <w:rsid w:val="00E404CB"/>
    <w:rsid w:val="00E40710"/>
    <w:rsid w:val="00E40841"/>
    <w:rsid w:val="00E422A9"/>
    <w:rsid w:val="00E42AC4"/>
    <w:rsid w:val="00E42DB8"/>
    <w:rsid w:val="00E430C0"/>
    <w:rsid w:val="00E430DE"/>
    <w:rsid w:val="00E4391F"/>
    <w:rsid w:val="00E44A0B"/>
    <w:rsid w:val="00E4509B"/>
    <w:rsid w:val="00E45563"/>
    <w:rsid w:val="00E46463"/>
    <w:rsid w:val="00E464E7"/>
    <w:rsid w:val="00E46B2B"/>
    <w:rsid w:val="00E46D09"/>
    <w:rsid w:val="00E4739C"/>
    <w:rsid w:val="00E4765F"/>
    <w:rsid w:val="00E536F4"/>
    <w:rsid w:val="00E54B3D"/>
    <w:rsid w:val="00E55BD4"/>
    <w:rsid w:val="00E56C29"/>
    <w:rsid w:val="00E5773C"/>
    <w:rsid w:val="00E60831"/>
    <w:rsid w:val="00E60FA4"/>
    <w:rsid w:val="00E61386"/>
    <w:rsid w:val="00E619B6"/>
    <w:rsid w:val="00E646C6"/>
    <w:rsid w:val="00E6519C"/>
    <w:rsid w:val="00E65864"/>
    <w:rsid w:val="00E65B41"/>
    <w:rsid w:val="00E65C9D"/>
    <w:rsid w:val="00E66219"/>
    <w:rsid w:val="00E66673"/>
    <w:rsid w:val="00E6669D"/>
    <w:rsid w:val="00E67557"/>
    <w:rsid w:val="00E67835"/>
    <w:rsid w:val="00E679AB"/>
    <w:rsid w:val="00E702DB"/>
    <w:rsid w:val="00E71205"/>
    <w:rsid w:val="00E71689"/>
    <w:rsid w:val="00E71E4E"/>
    <w:rsid w:val="00E7286D"/>
    <w:rsid w:val="00E72C02"/>
    <w:rsid w:val="00E73EBB"/>
    <w:rsid w:val="00E745F1"/>
    <w:rsid w:val="00E74B61"/>
    <w:rsid w:val="00E761DB"/>
    <w:rsid w:val="00E76844"/>
    <w:rsid w:val="00E769F0"/>
    <w:rsid w:val="00E7754B"/>
    <w:rsid w:val="00E776C0"/>
    <w:rsid w:val="00E777BF"/>
    <w:rsid w:val="00E802C7"/>
    <w:rsid w:val="00E80599"/>
    <w:rsid w:val="00E80747"/>
    <w:rsid w:val="00E81FF0"/>
    <w:rsid w:val="00E827B1"/>
    <w:rsid w:val="00E82F87"/>
    <w:rsid w:val="00E8319A"/>
    <w:rsid w:val="00E83878"/>
    <w:rsid w:val="00E84AC0"/>
    <w:rsid w:val="00E84B6D"/>
    <w:rsid w:val="00E84BC3"/>
    <w:rsid w:val="00E8523D"/>
    <w:rsid w:val="00E85A28"/>
    <w:rsid w:val="00E85C03"/>
    <w:rsid w:val="00E86082"/>
    <w:rsid w:val="00E863DD"/>
    <w:rsid w:val="00E86A5D"/>
    <w:rsid w:val="00E86E97"/>
    <w:rsid w:val="00E8754D"/>
    <w:rsid w:val="00E87E01"/>
    <w:rsid w:val="00E901C8"/>
    <w:rsid w:val="00E907BA"/>
    <w:rsid w:val="00E92AF1"/>
    <w:rsid w:val="00E935F3"/>
    <w:rsid w:val="00E93AC2"/>
    <w:rsid w:val="00E9484B"/>
    <w:rsid w:val="00E9544C"/>
    <w:rsid w:val="00E96130"/>
    <w:rsid w:val="00E974BD"/>
    <w:rsid w:val="00E974F6"/>
    <w:rsid w:val="00E97A95"/>
    <w:rsid w:val="00E97C6A"/>
    <w:rsid w:val="00EA0C96"/>
    <w:rsid w:val="00EA0D40"/>
    <w:rsid w:val="00EA17A9"/>
    <w:rsid w:val="00EA28D2"/>
    <w:rsid w:val="00EA3FF4"/>
    <w:rsid w:val="00EA4541"/>
    <w:rsid w:val="00EA538A"/>
    <w:rsid w:val="00EA5A35"/>
    <w:rsid w:val="00EA5A74"/>
    <w:rsid w:val="00EA6201"/>
    <w:rsid w:val="00EA65C9"/>
    <w:rsid w:val="00EA67D5"/>
    <w:rsid w:val="00EA67DE"/>
    <w:rsid w:val="00EA79EE"/>
    <w:rsid w:val="00EA7B94"/>
    <w:rsid w:val="00EA7E25"/>
    <w:rsid w:val="00EB0DFA"/>
    <w:rsid w:val="00EB1B63"/>
    <w:rsid w:val="00EB2D46"/>
    <w:rsid w:val="00EB327E"/>
    <w:rsid w:val="00EB3A7D"/>
    <w:rsid w:val="00EB3A8C"/>
    <w:rsid w:val="00EB3CEB"/>
    <w:rsid w:val="00EB44B3"/>
    <w:rsid w:val="00EB4D82"/>
    <w:rsid w:val="00EB5089"/>
    <w:rsid w:val="00EB5934"/>
    <w:rsid w:val="00EB5D84"/>
    <w:rsid w:val="00EB60BA"/>
    <w:rsid w:val="00EB7572"/>
    <w:rsid w:val="00EB7FDD"/>
    <w:rsid w:val="00EC00B6"/>
    <w:rsid w:val="00EC0344"/>
    <w:rsid w:val="00EC0959"/>
    <w:rsid w:val="00EC0B9F"/>
    <w:rsid w:val="00EC21C4"/>
    <w:rsid w:val="00EC24F1"/>
    <w:rsid w:val="00EC2761"/>
    <w:rsid w:val="00EC3306"/>
    <w:rsid w:val="00EC425D"/>
    <w:rsid w:val="00EC4481"/>
    <w:rsid w:val="00EC47DD"/>
    <w:rsid w:val="00EC4C2C"/>
    <w:rsid w:val="00EC53AC"/>
    <w:rsid w:val="00EC59EF"/>
    <w:rsid w:val="00EC5C2F"/>
    <w:rsid w:val="00EC718C"/>
    <w:rsid w:val="00EC71EE"/>
    <w:rsid w:val="00EC763E"/>
    <w:rsid w:val="00EC7A58"/>
    <w:rsid w:val="00ED017B"/>
    <w:rsid w:val="00ED1197"/>
    <w:rsid w:val="00ED15AA"/>
    <w:rsid w:val="00ED5973"/>
    <w:rsid w:val="00ED5BF4"/>
    <w:rsid w:val="00ED6122"/>
    <w:rsid w:val="00ED6743"/>
    <w:rsid w:val="00ED67D1"/>
    <w:rsid w:val="00ED6D7B"/>
    <w:rsid w:val="00ED738C"/>
    <w:rsid w:val="00ED7958"/>
    <w:rsid w:val="00EE030D"/>
    <w:rsid w:val="00EE0F6D"/>
    <w:rsid w:val="00EE1584"/>
    <w:rsid w:val="00EE323C"/>
    <w:rsid w:val="00EE3468"/>
    <w:rsid w:val="00EE46D5"/>
    <w:rsid w:val="00EE58C2"/>
    <w:rsid w:val="00EE5A92"/>
    <w:rsid w:val="00EE6B55"/>
    <w:rsid w:val="00EF051C"/>
    <w:rsid w:val="00EF113F"/>
    <w:rsid w:val="00EF23DC"/>
    <w:rsid w:val="00EF4FD8"/>
    <w:rsid w:val="00EF5200"/>
    <w:rsid w:val="00EF5262"/>
    <w:rsid w:val="00EF5334"/>
    <w:rsid w:val="00EF547D"/>
    <w:rsid w:val="00EF5C7D"/>
    <w:rsid w:val="00EF61C0"/>
    <w:rsid w:val="00EF7339"/>
    <w:rsid w:val="00EF74D9"/>
    <w:rsid w:val="00EF7746"/>
    <w:rsid w:val="00EF7A89"/>
    <w:rsid w:val="00EF7CBE"/>
    <w:rsid w:val="00F0096B"/>
    <w:rsid w:val="00F00EF3"/>
    <w:rsid w:val="00F01490"/>
    <w:rsid w:val="00F0200C"/>
    <w:rsid w:val="00F021D6"/>
    <w:rsid w:val="00F02CE6"/>
    <w:rsid w:val="00F0564E"/>
    <w:rsid w:val="00F05836"/>
    <w:rsid w:val="00F06784"/>
    <w:rsid w:val="00F06F10"/>
    <w:rsid w:val="00F079E1"/>
    <w:rsid w:val="00F07D11"/>
    <w:rsid w:val="00F07E27"/>
    <w:rsid w:val="00F07FA0"/>
    <w:rsid w:val="00F10C0C"/>
    <w:rsid w:val="00F11159"/>
    <w:rsid w:val="00F11315"/>
    <w:rsid w:val="00F11845"/>
    <w:rsid w:val="00F12324"/>
    <w:rsid w:val="00F12457"/>
    <w:rsid w:val="00F13CF8"/>
    <w:rsid w:val="00F1468A"/>
    <w:rsid w:val="00F14829"/>
    <w:rsid w:val="00F14C81"/>
    <w:rsid w:val="00F14CA3"/>
    <w:rsid w:val="00F160D6"/>
    <w:rsid w:val="00F16997"/>
    <w:rsid w:val="00F16AA8"/>
    <w:rsid w:val="00F16DF2"/>
    <w:rsid w:val="00F17053"/>
    <w:rsid w:val="00F20D30"/>
    <w:rsid w:val="00F20E88"/>
    <w:rsid w:val="00F21809"/>
    <w:rsid w:val="00F219DA"/>
    <w:rsid w:val="00F21A5A"/>
    <w:rsid w:val="00F21BBD"/>
    <w:rsid w:val="00F21FBA"/>
    <w:rsid w:val="00F22A5F"/>
    <w:rsid w:val="00F23C9E"/>
    <w:rsid w:val="00F24FC5"/>
    <w:rsid w:val="00F2577E"/>
    <w:rsid w:val="00F25AF4"/>
    <w:rsid w:val="00F2608F"/>
    <w:rsid w:val="00F269F9"/>
    <w:rsid w:val="00F272B4"/>
    <w:rsid w:val="00F279DA"/>
    <w:rsid w:val="00F27FE7"/>
    <w:rsid w:val="00F30E8A"/>
    <w:rsid w:val="00F315A0"/>
    <w:rsid w:val="00F316C3"/>
    <w:rsid w:val="00F32854"/>
    <w:rsid w:val="00F32E5E"/>
    <w:rsid w:val="00F3312F"/>
    <w:rsid w:val="00F35674"/>
    <w:rsid w:val="00F37A27"/>
    <w:rsid w:val="00F37C83"/>
    <w:rsid w:val="00F419C1"/>
    <w:rsid w:val="00F41A87"/>
    <w:rsid w:val="00F42056"/>
    <w:rsid w:val="00F42700"/>
    <w:rsid w:val="00F42C40"/>
    <w:rsid w:val="00F42FEE"/>
    <w:rsid w:val="00F43357"/>
    <w:rsid w:val="00F435CA"/>
    <w:rsid w:val="00F436FF"/>
    <w:rsid w:val="00F44D9D"/>
    <w:rsid w:val="00F452DD"/>
    <w:rsid w:val="00F45790"/>
    <w:rsid w:val="00F503C1"/>
    <w:rsid w:val="00F50656"/>
    <w:rsid w:val="00F5083D"/>
    <w:rsid w:val="00F50A42"/>
    <w:rsid w:val="00F51409"/>
    <w:rsid w:val="00F516BF"/>
    <w:rsid w:val="00F523B7"/>
    <w:rsid w:val="00F52666"/>
    <w:rsid w:val="00F52906"/>
    <w:rsid w:val="00F52A5A"/>
    <w:rsid w:val="00F53289"/>
    <w:rsid w:val="00F55D2C"/>
    <w:rsid w:val="00F5656E"/>
    <w:rsid w:val="00F567F9"/>
    <w:rsid w:val="00F57F97"/>
    <w:rsid w:val="00F603F4"/>
    <w:rsid w:val="00F621CD"/>
    <w:rsid w:val="00F623ED"/>
    <w:rsid w:val="00F624AD"/>
    <w:rsid w:val="00F62FF6"/>
    <w:rsid w:val="00F6425A"/>
    <w:rsid w:val="00F6429F"/>
    <w:rsid w:val="00F659B4"/>
    <w:rsid w:val="00F65C54"/>
    <w:rsid w:val="00F66E41"/>
    <w:rsid w:val="00F6711E"/>
    <w:rsid w:val="00F678B7"/>
    <w:rsid w:val="00F67DC0"/>
    <w:rsid w:val="00F7039B"/>
    <w:rsid w:val="00F70ACD"/>
    <w:rsid w:val="00F71C64"/>
    <w:rsid w:val="00F7300C"/>
    <w:rsid w:val="00F7387F"/>
    <w:rsid w:val="00F75958"/>
    <w:rsid w:val="00F76E93"/>
    <w:rsid w:val="00F777F1"/>
    <w:rsid w:val="00F80434"/>
    <w:rsid w:val="00F8124F"/>
    <w:rsid w:val="00F813DF"/>
    <w:rsid w:val="00F82AF1"/>
    <w:rsid w:val="00F83E01"/>
    <w:rsid w:val="00F850B4"/>
    <w:rsid w:val="00F853E1"/>
    <w:rsid w:val="00F85EB5"/>
    <w:rsid w:val="00F863D5"/>
    <w:rsid w:val="00F86819"/>
    <w:rsid w:val="00F87146"/>
    <w:rsid w:val="00F871AB"/>
    <w:rsid w:val="00F8747B"/>
    <w:rsid w:val="00F879F2"/>
    <w:rsid w:val="00F87FFD"/>
    <w:rsid w:val="00F9092D"/>
    <w:rsid w:val="00F913B2"/>
    <w:rsid w:val="00F92722"/>
    <w:rsid w:val="00F95AE6"/>
    <w:rsid w:val="00F964C2"/>
    <w:rsid w:val="00F97E16"/>
    <w:rsid w:val="00FA01B8"/>
    <w:rsid w:val="00FA0609"/>
    <w:rsid w:val="00FA2423"/>
    <w:rsid w:val="00FA2A7A"/>
    <w:rsid w:val="00FA32DA"/>
    <w:rsid w:val="00FA3ABF"/>
    <w:rsid w:val="00FA3F76"/>
    <w:rsid w:val="00FA5F0C"/>
    <w:rsid w:val="00FA5F50"/>
    <w:rsid w:val="00FB175B"/>
    <w:rsid w:val="00FB192B"/>
    <w:rsid w:val="00FB39C5"/>
    <w:rsid w:val="00FB5BFD"/>
    <w:rsid w:val="00FB646F"/>
    <w:rsid w:val="00FB7CD1"/>
    <w:rsid w:val="00FC042B"/>
    <w:rsid w:val="00FC0ED6"/>
    <w:rsid w:val="00FC123C"/>
    <w:rsid w:val="00FC32D2"/>
    <w:rsid w:val="00FC3649"/>
    <w:rsid w:val="00FC594D"/>
    <w:rsid w:val="00FC5FA1"/>
    <w:rsid w:val="00FC5FDA"/>
    <w:rsid w:val="00FC7B96"/>
    <w:rsid w:val="00FC7BE6"/>
    <w:rsid w:val="00FC7C7D"/>
    <w:rsid w:val="00FD0D45"/>
    <w:rsid w:val="00FD18F8"/>
    <w:rsid w:val="00FD1BCD"/>
    <w:rsid w:val="00FD23EE"/>
    <w:rsid w:val="00FD2418"/>
    <w:rsid w:val="00FD3281"/>
    <w:rsid w:val="00FD48F3"/>
    <w:rsid w:val="00FD527F"/>
    <w:rsid w:val="00FD66E3"/>
    <w:rsid w:val="00FD69D4"/>
    <w:rsid w:val="00FD6B1D"/>
    <w:rsid w:val="00FD6D06"/>
    <w:rsid w:val="00FE1D81"/>
    <w:rsid w:val="00FE1EEC"/>
    <w:rsid w:val="00FE2184"/>
    <w:rsid w:val="00FE238D"/>
    <w:rsid w:val="00FE2655"/>
    <w:rsid w:val="00FE3578"/>
    <w:rsid w:val="00FE35F3"/>
    <w:rsid w:val="00FE3A56"/>
    <w:rsid w:val="00FE3F8A"/>
    <w:rsid w:val="00FE779B"/>
    <w:rsid w:val="00FF10B0"/>
    <w:rsid w:val="00FF1605"/>
    <w:rsid w:val="00FF1CCB"/>
    <w:rsid w:val="00FF1E8B"/>
    <w:rsid w:val="00FF23A5"/>
    <w:rsid w:val="00FF2B27"/>
    <w:rsid w:val="00FF2DD9"/>
    <w:rsid w:val="00FF30CB"/>
    <w:rsid w:val="00FF39FA"/>
    <w:rsid w:val="00FF3E44"/>
    <w:rsid w:val="00FF4979"/>
    <w:rsid w:val="00FF4F21"/>
    <w:rsid w:val="00FF532E"/>
    <w:rsid w:val="00FF5497"/>
    <w:rsid w:val="00FF625C"/>
    <w:rsid w:val="00FF62CB"/>
    <w:rsid w:val="00FF7963"/>
    <w:rsid w:val="0151CCA9"/>
    <w:rsid w:val="01B68F94"/>
    <w:rsid w:val="01C09706"/>
    <w:rsid w:val="0229D454"/>
    <w:rsid w:val="022E88FE"/>
    <w:rsid w:val="03363913"/>
    <w:rsid w:val="03B12364"/>
    <w:rsid w:val="03C63378"/>
    <w:rsid w:val="043479EE"/>
    <w:rsid w:val="0465B5B1"/>
    <w:rsid w:val="059F43B0"/>
    <w:rsid w:val="068EC54B"/>
    <w:rsid w:val="069B5438"/>
    <w:rsid w:val="07842D4D"/>
    <w:rsid w:val="07ED3325"/>
    <w:rsid w:val="098581B8"/>
    <w:rsid w:val="0A113E77"/>
    <w:rsid w:val="0A36A87A"/>
    <w:rsid w:val="0B5C4B4F"/>
    <w:rsid w:val="0CD68AF1"/>
    <w:rsid w:val="0D0B4630"/>
    <w:rsid w:val="0D1C6234"/>
    <w:rsid w:val="0D865EF2"/>
    <w:rsid w:val="0F08CC3E"/>
    <w:rsid w:val="0F3F16AA"/>
    <w:rsid w:val="0F6A5578"/>
    <w:rsid w:val="10DF149C"/>
    <w:rsid w:val="11EF6B6B"/>
    <w:rsid w:val="1223329F"/>
    <w:rsid w:val="126829BE"/>
    <w:rsid w:val="128C5C2E"/>
    <w:rsid w:val="12A1D9FB"/>
    <w:rsid w:val="132E785D"/>
    <w:rsid w:val="141CC6C4"/>
    <w:rsid w:val="146E1060"/>
    <w:rsid w:val="14764443"/>
    <w:rsid w:val="15524A9C"/>
    <w:rsid w:val="155A115B"/>
    <w:rsid w:val="1639B18C"/>
    <w:rsid w:val="16C36C23"/>
    <w:rsid w:val="16D6285C"/>
    <w:rsid w:val="16D6AC6C"/>
    <w:rsid w:val="171AC6E3"/>
    <w:rsid w:val="1770DE0E"/>
    <w:rsid w:val="1790F9AC"/>
    <w:rsid w:val="17E361D3"/>
    <w:rsid w:val="182B6883"/>
    <w:rsid w:val="19CF573B"/>
    <w:rsid w:val="19D82688"/>
    <w:rsid w:val="1A7400EF"/>
    <w:rsid w:val="1A9CB559"/>
    <w:rsid w:val="1BF0A1E9"/>
    <w:rsid w:val="1E15F6E0"/>
    <w:rsid w:val="1E41ACD1"/>
    <w:rsid w:val="1E5D1E66"/>
    <w:rsid w:val="1E85DAF4"/>
    <w:rsid w:val="1F412FEA"/>
    <w:rsid w:val="1F7F4DCB"/>
    <w:rsid w:val="1FF88A8A"/>
    <w:rsid w:val="2066E477"/>
    <w:rsid w:val="2069DFD1"/>
    <w:rsid w:val="20CCCFF0"/>
    <w:rsid w:val="21DAD076"/>
    <w:rsid w:val="21E0E31C"/>
    <w:rsid w:val="21F95361"/>
    <w:rsid w:val="22D4F592"/>
    <w:rsid w:val="22E0B960"/>
    <w:rsid w:val="2413B1C6"/>
    <w:rsid w:val="25A715A7"/>
    <w:rsid w:val="25FEB992"/>
    <w:rsid w:val="285F2BC9"/>
    <w:rsid w:val="29A136D0"/>
    <w:rsid w:val="2A191E35"/>
    <w:rsid w:val="2A325985"/>
    <w:rsid w:val="2ACD9079"/>
    <w:rsid w:val="2C879BA6"/>
    <w:rsid w:val="2D2EA932"/>
    <w:rsid w:val="2D3456CF"/>
    <w:rsid w:val="2E3DABD4"/>
    <w:rsid w:val="2EE244ED"/>
    <w:rsid w:val="2F0C930C"/>
    <w:rsid w:val="2FB849AA"/>
    <w:rsid w:val="2FFA0320"/>
    <w:rsid w:val="3020A5FF"/>
    <w:rsid w:val="306DB087"/>
    <w:rsid w:val="308C12EE"/>
    <w:rsid w:val="31321E6F"/>
    <w:rsid w:val="3207C7F2"/>
    <w:rsid w:val="3245B441"/>
    <w:rsid w:val="3281A8EE"/>
    <w:rsid w:val="32B5823B"/>
    <w:rsid w:val="32D1B632"/>
    <w:rsid w:val="3331A3E2"/>
    <w:rsid w:val="33FD061A"/>
    <w:rsid w:val="3430B11F"/>
    <w:rsid w:val="3476F654"/>
    <w:rsid w:val="3485BEDF"/>
    <w:rsid w:val="34CD7443"/>
    <w:rsid w:val="357D5503"/>
    <w:rsid w:val="35801D2B"/>
    <w:rsid w:val="3588C059"/>
    <w:rsid w:val="35A6EEA6"/>
    <w:rsid w:val="362CC538"/>
    <w:rsid w:val="36BC9B8A"/>
    <w:rsid w:val="36FB35E7"/>
    <w:rsid w:val="396E0C34"/>
    <w:rsid w:val="39BD08A5"/>
    <w:rsid w:val="3A0183BD"/>
    <w:rsid w:val="3A5C436A"/>
    <w:rsid w:val="3A98A36D"/>
    <w:rsid w:val="3B061E4F"/>
    <w:rsid w:val="3B48523C"/>
    <w:rsid w:val="3C9CB7CA"/>
    <w:rsid w:val="3C9D5AB1"/>
    <w:rsid w:val="3D4B6897"/>
    <w:rsid w:val="3DA0B648"/>
    <w:rsid w:val="3DACCA3A"/>
    <w:rsid w:val="3DAF75E3"/>
    <w:rsid w:val="3E56B786"/>
    <w:rsid w:val="3ECDE4AA"/>
    <w:rsid w:val="403E9779"/>
    <w:rsid w:val="40D51FDC"/>
    <w:rsid w:val="41B63CD5"/>
    <w:rsid w:val="41FF9493"/>
    <w:rsid w:val="4270380D"/>
    <w:rsid w:val="4298B417"/>
    <w:rsid w:val="433639E4"/>
    <w:rsid w:val="4383C67A"/>
    <w:rsid w:val="44B0C671"/>
    <w:rsid w:val="44EB6B5F"/>
    <w:rsid w:val="452A2CE3"/>
    <w:rsid w:val="457943A8"/>
    <w:rsid w:val="464C8F3C"/>
    <w:rsid w:val="47026319"/>
    <w:rsid w:val="47406090"/>
    <w:rsid w:val="47763778"/>
    <w:rsid w:val="478E1685"/>
    <w:rsid w:val="47C9EF33"/>
    <w:rsid w:val="47E85F9D"/>
    <w:rsid w:val="480AFFD1"/>
    <w:rsid w:val="484FC4B1"/>
    <w:rsid w:val="487F3547"/>
    <w:rsid w:val="48D74937"/>
    <w:rsid w:val="48DC2290"/>
    <w:rsid w:val="490DBED5"/>
    <w:rsid w:val="49842FFE"/>
    <w:rsid w:val="49BD18ED"/>
    <w:rsid w:val="49C8817A"/>
    <w:rsid w:val="4A91A3C6"/>
    <w:rsid w:val="4B7F2000"/>
    <w:rsid w:val="4C3EEB22"/>
    <w:rsid w:val="4C7FBF2C"/>
    <w:rsid w:val="4CBF89AC"/>
    <w:rsid w:val="4D194994"/>
    <w:rsid w:val="4D49147C"/>
    <w:rsid w:val="4DBA16E1"/>
    <w:rsid w:val="4E3657B4"/>
    <w:rsid w:val="4E99C3CC"/>
    <w:rsid w:val="4EB519F5"/>
    <w:rsid w:val="4F06D987"/>
    <w:rsid w:val="4F6514E9"/>
    <w:rsid w:val="500B7B50"/>
    <w:rsid w:val="52290500"/>
    <w:rsid w:val="52343E9D"/>
    <w:rsid w:val="529946A0"/>
    <w:rsid w:val="531B62FF"/>
    <w:rsid w:val="53A95F9B"/>
    <w:rsid w:val="53ADE603"/>
    <w:rsid w:val="54C72DB0"/>
    <w:rsid w:val="54CEA48A"/>
    <w:rsid w:val="551F0BCA"/>
    <w:rsid w:val="55A17D3B"/>
    <w:rsid w:val="56842359"/>
    <w:rsid w:val="573A0DD1"/>
    <w:rsid w:val="5832D9A2"/>
    <w:rsid w:val="583AC0EC"/>
    <w:rsid w:val="58600047"/>
    <w:rsid w:val="58BAA9CA"/>
    <w:rsid w:val="58D5FDB6"/>
    <w:rsid w:val="594B59FD"/>
    <w:rsid w:val="5BF23D12"/>
    <w:rsid w:val="5BFF827F"/>
    <w:rsid w:val="5C661364"/>
    <w:rsid w:val="5C86CC5B"/>
    <w:rsid w:val="5CB2E9CA"/>
    <w:rsid w:val="5CC62B9C"/>
    <w:rsid w:val="5D150481"/>
    <w:rsid w:val="5D4249CE"/>
    <w:rsid w:val="5D5F05B5"/>
    <w:rsid w:val="5DB4E1B3"/>
    <w:rsid w:val="5E784C5B"/>
    <w:rsid w:val="5F5F8FE9"/>
    <w:rsid w:val="5FAA8AE0"/>
    <w:rsid w:val="5FE0733D"/>
    <w:rsid w:val="60236380"/>
    <w:rsid w:val="60313C8A"/>
    <w:rsid w:val="60A58293"/>
    <w:rsid w:val="60B66A85"/>
    <w:rsid w:val="61082DB1"/>
    <w:rsid w:val="61CED75A"/>
    <w:rsid w:val="62193C09"/>
    <w:rsid w:val="62E0E8F9"/>
    <w:rsid w:val="6341A54D"/>
    <w:rsid w:val="6382EC4A"/>
    <w:rsid w:val="6393EDDB"/>
    <w:rsid w:val="6482FB87"/>
    <w:rsid w:val="6487540E"/>
    <w:rsid w:val="64A7A2AA"/>
    <w:rsid w:val="653A2386"/>
    <w:rsid w:val="6576E496"/>
    <w:rsid w:val="6658F0A5"/>
    <w:rsid w:val="6679FAB8"/>
    <w:rsid w:val="66EA25C4"/>
    <w:rsid w:val="671002D0"/>
    <w:rsid w:val="6717C38F"/>
    <w:rsid w:val="67CDF24B"/>
    <w:rsid w:val="6809C1BF"/>
    <w:rsid w:val="694AFE3D"/>
    <w:rsid w:val="697D2101"/>
    <w:rsid w:val="6A578534"/>
    <w:rsid w:val="6AD07D22"/>
    <w:rsid w:val="6BBF9F99"/>
    <w:rsid w:val="6C33D301"/>
    <w:rsid w:val="6C79F295"/>
    <w:rsid w:val="6CCC3EC2"/>
    <w:rsid w:val="6D257487"/>
    <w:rsid w:val="6D5375DD"/>
    <w:rsid w:val="6DB7AF35"/>
    <w:rsid w:val="6DE88F43"/>
    <w:rsid w:val="6E183277"/>
    <w:rsid w:val="6F6343FE"/>
    <w:rsid w:val="6F98EF7E"/>
    <w:rsid w:val="7096FF65"/>
    <w:rsid w:val="70BCEBFE"/>
    <w:rsid w:val="71D4EE42"/>
    <w:rsid w:val="71EE169F"/>
    <w:rsid w:val="721AE855"/>
    <w:rsid w:val="72353A67"/>
    <w:rsid w:val="727863A5"/>
    <w:rsid w:val="7389E700"/>
    <w:rsid w:val="74AE6610"/>
    <w:rsid w:val="758132FF"/>
    <w:rsid w:val="761EA0C3"/>
    <w:rsid w:val="764F1005"/>
    <w:rsid w:val="766DA4DC"/>
    <w:rsid w:val="772AE930"/>
    <w:rsid w:val="77585A59"/>
    <w:rsid w:val="7776B4B8"/>
    <w:rsid w:val="779306DD"/>
    <w:rsid w:val="798ADB7F"/>
    <w:rsid w:val="7B4A66A9"/>
    <w:rsid w:val="7C6C53B0"/>
    <w:rsid w:val="7C816166"/>
    <w:rsid w:val="7D04E06B"/>
    <w:rsid w:val="7DE9B20B"/>
    <w:rsid w:val="7DF5A924"/>
    <w:rsid w:val="7E2877BD"/>
    <w:rsid w:val="7ED45408"/>
    <w:rsid w:val="7EDF2731"/>
    <w:rsid w:val="7F13684C"/>
    <w:rsid w:val="7FB933DB"/>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4:docId w14:val="7724AEA8"/>
  <w15:docId w15:val="{4894C11D-AF44-49E2-AB63-E5667BE099B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HAnsi" w:hAnsi="Times New Roman" w:cstheme="minorBidi"/>
        <w:sz w:val="24"/>
        <w:szCs w:val="24"/>
        <w:lang w:val="en-US" w:eastAsia="en-US" w:bidi="ar-SA"/>
      </w:rPr>
    </w:rPrDefault>
    <w:pPrDefault>
      <w:pPr>
        <w:spacing w:after="200" w:line="480" w:lineRule="auto"/>
      </w:pPr>
    </w:pPrDefault>
  </w:docDefaults>
  <w:latentStyles w:defLockedState="0" w:defUIPriority="99" w:defSemiHidden="0" w:defUnhideWhenUsed="0" w:defQFormat="0" w:count="376">
    <w:lsdException w:name="Normal" w:uiPriority="0"/>
    <w:lsdException w:name="heading 1" w:uiPriority="9"/>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qFormat="1"/>
    <w:lsdException w:name="index 1" w:semiHidden="1"/>
    <w:lsdException w:name="index 2" w:semiHidden="1"/>
    <w:lsdException w:name="index 3" w:semiHidden="1"/>
    <w:lsdException w:name="index 4" w:semiHidden="1"/>
    <w:lsdException w:name="index 5" w:semiHidden="1"/>
    <w:lsdException w:name="index 6" w:semiHidden="1"/>
    <w:lsdException w:name="index 7" w:semiHidden="1"/>
    <w:lsdException w:name="index 8" w:semiHidden="1"/>
    <w:lsdException w:name="index 9" w:semiHidden="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lsdException w:name="Normal Indent" w:semiHidden="1"/>
    <w:lsdException w:name="footnote text" w:semiHidden="1" w:unhideWhenUsed="1"/>
    <w:lsdException w:name="annotation text" w:semiHidden="1"/>
    <w:lsdException w:name="header" w:semiHidden="1" w:unhideWhenUsed="1"/>
    <w:lsdException w:name="footer" w:semiHidden="1" w:unhideWhenUsed="1"/>
    <w:lsdException w:name="index heading" w:semiHidden="1"/>
    <w:lsdException w:name="caption" w:semiHidden="1" w:uiPriority="35" w:qFormat="1"/>
    <w:lsdException w:name="table of figures" w:semiHidden="1"/>
    <w:lsdException w:name="envelope address" w:semiHidden="1"/>
    <w:lsdException w:name="envelope return" w:semiHidden="1"/>
    <w:lsdException w:name="footnote reference" w:semiHidden="1" w:unhideWhenUsed="1"/>
    <w:lsdException w:name="annotation reference" w:semiHidden="1"/>
    <w:lsdException w:name="line number" w:semiHidden="1"/>
    <w:lsdException w:name="page number" w:semiHidden="1"/>
    <w:lsdException w:name="endnote reference" w:semiHidden="1"/>
    <w:lsdException w:name="endnote text" w:semiHidden="1"/>
    <w:lsdException w:name="table of authorities" w:semiHidden="1"/>
    <w:lsdException w:name="macro" w:semiHidden="1"/>
    <w:lsdException w:name="toa heading" w:semiHidden="1"/>
    <w:lsdException w:name="List" w:semiHidden="1"/>
    <w:lsdException w:name="List Bullet" w:semiHidden="1" w:uiPriority="0" w:qFormat="1"/>
    <w:lsdException w:name="List Number" w:semiHidden="1" w:uiPriority="0" w:qFormat="1"/>
    <w:lsdException w:name="List 2" w:semiHidden="1"/>
    <w:lsdException w:name="List 3" w:semiHidden="1"/>
    <w:lsdException w:name="List 4" w:semiHidden="1"/>
    <w:lsdException w:name="List 5" w:semiHidden="1"/>
    <w:lsdException w:name="List Bullet 2" w:semiHidden="1" w:uiPriority="0" w:qFormat="1"/>
    <w:lsdException w:name="List Bullet 3" w:semiHidden="1" w:uiPriority="0" w:qFormat="1"/>
    <w:lsdException w:name="List Bullet 4" w:semiHidden="1"/>
    <w:lsdException w:name="List Bullet 5" w:semiHidden="1"/>
    <w:lsdException w:name="List Number 2" w:semiHidden="1" w:uiPriority="0" w:qFormat="1"/>
    <w:lsdException w:name="List Number 3" w:semiHidden="1" w:uiPriority="0" w:qFormat="1"/>
    <w:lsdException w:name="List Number 4" w:semiHidden="1"/>
    <w:lsdException w:name="List Number 5" w:semiHidden="1"/>
    <w:lsdException w:name="Title" w:semiHidden="1" w:uiPriority="10"/>
    <w:lsdException w:name="Closing" w:semiHidden="1"/>
    <w:lsdException w:name="Signature" w:semiHidden="1"/>
    <w:lsdException w:name="Default Paragraph Font" w:semiHidden="1" w:uiPriority="1" w:unhideWhenUsed="1"/>
    <w:lsdException w:name="Body Text" w:semiHidden="1"/>
    <w:lsdException w:name="Body Text Indent" w:semiHidden="1"/>
    <w:lsdException w:name="List Continue" w:semiHidden="1"/>
    <w:lsdException w:name="List Continue 2" w:semiHidden="1"/>
    <w:lsdException w:name="List Continue 3" w:semiHidden="1"/>
    <w:lsdException w:name="List Continue 4" w:semiHidden="1"/>
    <w:lsdException w:name="List Continue 5" w:semiHidden="1"/>
    <w:lsdException w:name="Message Header" w:semiHidden="1"/>
    <w:lsdException w:name="Subtitle" w:semiHidden="1" w:uiPriority="11"/>
    <w:lsdException w:name="Salutation" w:semiHidden="1"/>
    <w:lsdException w:name="Date" w:semiHidden="1"/>
    <w:lsdException w:name="Body Text First Indent" w:semiHidden="1"/>
    <w:lsdException w:name="Body Text First Indent 2" w:semiHidden="1"/>
    <w:lsdException w:name="Note Heading" w:semiHidden="1"/>
    <w:lsdException w:name="Body Text 2" w:semiHidden="1"/>
    <w:lsdException w:name="Body Text 3" w:semiHidden="1"/>
    <w:lsdException w:name="Body Text Indent 2" w:semiHidden="1"/>
    <w:lsdException w:name="Body Text Indent 3" w:semiHidden="1"/>
    <w:lsdException w:name="Block Text" w:semiHidden="1"/>
    <w:lsdException w:name="Hyperlink" w:semiHidden="1" w:unhideWhenUsed="1" w:qFormat="1"/>
    <w:lsdException w:name="FollowedHyperlink" w:semiHidden="1"/>
    <w:lsdException w:name="Strong" w:semiHidden="1" w:uiPriority="22"/>
    <w:lsdException w:name="Emphasis" w:semiHidden="1" w:uiPriority="20"/>
    <w:lsdException w:name="Document Map" w:semiHidden="1"/>
    <w:lsdException w:name="Plain Text" w:semiHidden="1"/>
    <w:lsdException w:name="E-mail Signature" w:semiHidden="1"/>
    <w:lsdException w:name="HTML Top of Form" w:semiHidden="1" w:unhideWhenUsed="1"/>
    <w:lsdException w:name="HTML Bottom of Form" w:semiHidden="1" w:unhideWhenUsed="1"/>
    <w:lsdException w:name="Normal (Web)" w:semiHidden="1"/>
    <w:lsdException w:name="HTML Acronym" w:semiHidden="1"/>
    <w:lsdException w:name="HTML Address" w:semiHidden="1"/>
    <w:lsdException w:name="HTML Cite" w:semiHidden="1"/>
    <w:lsdException w:name="HTML Code" w:semiHidden="1"/>
    <w:lsdException w:name="HTML Definition" w:semiHidden="1"/>
    <w:lsdException w:name="HTML Keyboard" w:semiHidden="1"/>
    <w:lsdException w:name="HTML Preformatted" w:semiHidden="1"/>
    <w:lsdException w:name="HTML Sample" w:semiHidden="1"/>
    <w:lsdException w:name="HTML Typewriter" w:semiHidden="1" w:unhideWhenUsed="1"/>
    <w:lsdException w:name="HTML Variable" w:semiHidden="1"/>
    <w:lsdException w:name="Normal Table" w:semiHidden="1" w:unhideWhenUsed="1"/>
    <w:lsdException w:name="annotation subject" w:semiHidden="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iPriority="0"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semiHidden="1"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semiHidden="1" w:uiPriority="34"/>
    <w:lsdException w:name="Quote" w:semiHidden="1" w:uiPriority="29"/>
    <w:lsdException w:name="Intense Quote" w:semiHidden="1"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semiHidden="1" w:uiPriority="19"/>
    <w:lsdException w:name="Intense Emphasis" w:semiHidden="1" w:uiPriority="21"/>
    <w:lsdException w:name="Subtle Reference" w:semiHidden="1" w:uiPriority="31"/>
    <w:lsdException w:name="Intense Reference" w:semiHidden="1" w:uiPriority="32"/>
    <w:lsdException w:name="Book Title" w:semiHidden="1" w:uiPriority="33"/>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lsdException w:name="Smart Hyperlink" w:semiHidden="1"/>
    <w:lsdException w:name="Hashtag" w:semiHidden="1"/>
    <w:lsdException w:name="Unresolved Mention" w:semiHidden="1" w:unhideWhenUsed="1"/>
    <w:lsdException w:name="Smart Link" w:semiHidden="1" w:unhideWhenUsed="1"/>
  </w:latentStyles>
  <w:style w:type="paragraph" w:default="1" w:styleId="Normal">
    <w:name w:val="Normal"/>
    <w:rsid w:val="00D93D72"/>
  </w:style>
  <w:style w:type="paragraph" w:styleId="Heading1">
    <w:name w:val="heading 1"/>
    <w:basedOn w:val="Normal"/>
    <w:next w:val="Normal"/>
    <w:link w:val="Heading1Char"/>
    <w:uiPriority w:val="9"/>
    <w:semiHidden/>
    <w:rsid w:val="00E02CF8"/>
    <w:pPr>
      <w:keepNext/>
      <w:keepLines/>
      <w:spacing w:before="240" w:after="0"/>
      <w:outlineLvl w:val="0"/>
    </w:pPr>
    <w:rPr>
      <w:rFonts w:ascii="Cambria" w:eastAsia="MS Gothic" w:hAnsi="Cambria"/>
      <w:color w:val="365F91"/>
      <w:sz w:val="32"/>
      <w:szCs w:val="32"/>
    </w:rPr>
  </w:style>
  <w:style w:type="paragraph" w:styleId="Heading2">
    <w:name w:val="heading 2"/>
    <w:basedOn w:val="Normal"/>
    <w:next w:val="Normal"/>
    <w:link w:val="Heading2Char"/>
    <w:uiPriority w:val="9"/>
    <w:qFormat/>
    <w:rsid w:val="00E02CF8"/>
    <w:pPr>
      <w:keepNext/>
      <w:keepLines/>
      <w:spacing w:before="40" w:after="0"/>
      <w:outlineLvl w:val="1"/>
    </w:pPr>
    <w:rPr>
      <w:rFonts w:ascii="Cambria" w:eastAsia="MS Gothic" w:hAnsi="Cambria"/>
      <w:color w:val="365F91"/>
      <w:sz w:val="26"/>
      <w:szCs w:val="26"/>
    </w:rPr>
  </w:style>
  <w:style w:type="paragraph" w:styleId="Heading3">
    <w:name w:val="heading 3"/>
    <w:basedOn w:val="Normal"/>
    <w:next w:val="Normal"/>
    <w:link w:val="Heading3Char"/>
    <w:uiPriority w:val="9"/>
    <w:semiHidden/>
    <w:qFormat/>
    <w:rsid w:val="00E02CF8"/>
    <w:pPr>
      <w:keepNext/>
      <w:keepLines/>
      <w:spacing w:before="40" w:after="0"/>
      <w:outlineLvl w:val="2"/>
    </w:pPr>
    <w:rPr>
      <w:rFonts w:ascii="Cambria" w:eastAsia="MS Gothic" w:hAnsi="Cambria"/>
      <w:color w:val="243F60"/>
    </w:rPr>
  </w:style>
  <w:style w:type="paragraph" w:styleId="Heading4">
    <w:name w:val="heading 4"/>
    <w:basedOn w:val="Normal"/>
    <w:next w:val="Normal"/>
    <w:link w:val="Heading4Char"/>
    <w:uiPriority w:val="9"/>
    <w:semiHidden/>
    <w:qFormat/>
    <w:rsid w:val="00E02CF8"/>
    <w:pPr>
      <w:keepNext/>
      <w:keepLines/>
      <w:spacing w:before="40" w:after="0"/>
      <w:outlineLvl w:val="3"/>
    </w:pPr>
    <w:rPr>
      <w:rFonts w:ascii="Cambria" w:eastAsia="MS Gothic" w:hAnsi="Cambria"/>
      <w:i/>
      <w:iCs/>
      <w:color w:val="365F91"/>
    </w:rPr>
  </w:style>
  <w:style w:type="paragraph" w:styleId="Heading5">
    <w:name w:val="heading 5"/>
    <w:basedOn w:val="Normal"/>
    <w:next w:val="Normal"/>
    <w:link w:val="Heading5Char"/>
    <w:uiPriority w:val="9"/>
    <w:semiHidden/>
    <w:qFormat/>
    <w:rsid w:val="00E02CF8"/>
    <w:pPr>
      <w:keepNext/>
      <w:keepLines/>
      <w:spacing w:before="40" w:after="0"/>
      <w:outlineLvl w:val="4"/>
    </w:pPr>
    <w:rPr>
      <w:rFonts w:ascii="Cambria" w:eastAsia="MS Gothic" w:hAnsi="Cambria"/>
      <w:color w:val="365F91"/>
    </w:rPr>
  </w:style>
  <w:style w:type="paragraph" w:styleId="Heading6">
    <w:name w:val="heading 6"/>
    <w:basedOn w:val="Normal"/>
    <w:next w:val="Normal"/>
    <w:link w:val="Heading6Char"/>
    <w:uiPriority w:val="9"/>
    <w:semiHidden/>
    <w:qFormat/>
    <w:rsid w:val="00E02CF8"/>
    <w:pPr>
      <w:keepNext/>
      <w:keepLines/>
      <w:spacing w:before="40" w:after="0"/>
      <w:outlineLvl w:val="5"/>
    </w:pPr>
    <w:rPr>
      <w:rFonts w:ascii="Cambria" w:eastAsia="MS Gothic" w:hAnsi="Cambria"/>
      <w:color w:val="243F60"/>
    </w:rPr>
  </w:style>
  <w:style w:type="paragraph" w:styleId="Heading7">
    <w:name w:val="heading 7"/>
    <w:basedOn w:val="Normal"/>
    <w:next w:val="Normal"/>
    <w:link w:val="Heading7Char"/>
    <w:uiPriority w:val="9"/>
    <w:semiHidden/>
    <w:qFormat/>
    <w:rsid w:val="00E02CF8"/>
    <w:pPr>
      <w:keepNext/>
      <w:keepLines/>
      <w:spacing w:before="40" w:after="0"/>
      <w:outlineLvl w:val="6"/>
    </w:pPr>
    <w:rPr>
      <w:rFonts w:ascii="Cambria" w:eastAsia="MS Gothic" w:hAnsi="Cambria"/>
      <w:i/>
      <w:iCs/>
      <w:color w:val="243F60"/>
    </w:rPr>
  </w:style>
  <w:style w:type="paragraph" w:styleId="Heading8">
    <w:name w:val="heading 8"/>
    <w:basedOn w:val="Normal"/>
    <w:next w:val="Normal"/>
    <w:link w:val="Heading8Char"/>
    <w:uiPriority w:val="9"/>
    <w:semiHidden/>
    <w:qFormat/>
    <w:rsid w:val="00E02CF8"/>
    <w:pPr>
      <w:keepNext/>
      <w:keepLines/>
      <w:spacing w:before="40" w:after="0"/>
      <w:outlineLvl w:val="7"/>
    </w:pPr>
    <w:rPr>
      <w:rFonts w:ascii="Cambria" w:eastAsia="MS Gothic" w:hAnsi="Cambria"/>
      <w:color w:val="272727"/>
      <w:sz w:val="21"/>
      <w:szCs w:val="21"/>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uiPriority w:val="9"/>
    <w:semiHidden/>
    <w:rsid w:val="0034363B"/>
    <w:rPr>
      <w:rFonts w:ascii="Cambria" w:eastAsia="MS Gothic" w:hAnsi="Cambria" w:cs="Times New Roman"/>
      <w:color w:val="365F91"/>
      <w:sz w:val="32"/>
      <w:szCs w:val="32"/>
    </w:rPr>
  </w:style>
  <w:style w:type="character" w:customStyle="1" w:styleId="Heading2Char">
    <w:name w:val="Heading 2 Char"/>
    <w:link w:val="Heading2"/>
    <w:uiPriority w:val="9"/>
    <w:semiHidden/>
    <w:rsid w:val="0034363B"/>
    <w:rPr>
      <w:rFonts w:ascii="Cambria" w:eastAsia="MS Gothic" w:hAnsi="Cambria" w:cs="Times New Roman"/>
      <w:color w:val="365F91"/>
      <w:sz w:val="26"/>
      <w:szCs w:val="26"/>
    </w:rPr>
  </w:style>
  <w:style w:type="character" w:customStyle="1" w:styleId="Heading3Char">
    <w:name w:val="Heading 3 Char"/>
    <w:link w:val="Heading3"/>
    <w:uiPriority w:val="9"/>
    <w:semiHidden/>
    <w:rsid w:val="0034363B"/>
    <w:rPr>
      <w:rFonts w:ascii="Cambria" w:eastAsia="MS Gothic" w:hAnsi="Cambria" w:cs="Times New Roman"/>
      <w:color w:val="243F60"/>
      <w:sz w:val="24"/>
      <w:szCs w:val="24"/>
    </w:rPr>
  </w:style>
  <w:style w:type="character" w:customStyle="1" w:styleId="Heading4Char">
    <w:name w:val="Heading 4 Char"/>
    <w:link w:val="Heading4"/>
    <w:uiPriority w:val="9"/>
    <w:semiHidden/>
    <w:rsid w:val="0034363B"/>
    <w:rPr>
      <w:rFonts w:ascii="Cambria" w:eastAsia="MS Gothic" w:hAnsi="Cambria" w:cs="Times New Roman"/>
      <w:i/>
      <w:iCs/>
      <w:color w:val="365F91"/>
      <w:sz w:val="24"/>
    </w:rPr>
  </w:style>
  <w:style w:type="character" w:customStyle="1" w:styleId="Heading5Char">
    <w:name w:val="Heading 5 Char"/>
    <w:link w:val="Heading5"/>
    <w:uiPriority w:val="9"/>
    <w:semiHidden/>
    <w:rsid w:val="0034363B"/>
    <w:rPr>
      <w:rFonts w:ascii="Cambria" w:eastAsia="MS Gothic" w:hAnsi="Cambria" w:cs="Times New Roman"/>
      <w:color w:val="365F91"/>
      <w:sz w:val="24"/>
    </w:rPr>
  </w:style>
  <w:style w:type="character" w:customStyle="1" w:styleId="Heading6Char">
    <w:name w:val="Heading 6 Char"/>
    <w:link w:val="Heading6"/>
    <w:uiPriority w:val="9"/>
    <w:semiHidden/>
    <w:rsid w:val="0034363B"/>
    <w:rPr>
      <w:rFonts w:ascii="Cambria" w:eastAsia="MS Gothic" w:hAnsi="Cambria" w:cs="Times New Roman"/>
      <w:color w:val="243F60"/>
      <w:sz w:val="24"/>
    </w:rPr>
  </w:style>
  <w:style w:type="character" w:customStyle="1" w:styleId="Heading7Char">
    <w:name w:val="Heading 7 Char"/>
    <w:link w:val="Heading7"/>
    <w:uiPriority w:val="9"/>
    <w:semiHidden/>
    <w:rsid w:val="0034363B"/>
    <w:rPr>
      <w:rFonts w:ascii="Cambria" w:eastAsia="MS Gothic" w:hAnsi="Cambria" w:cs="Times New Roman"/>
      <w:i/>
      <w:iCs/>
      <w:color w:val="243F60"/>
      <w:sz w:val="24"/>
    </w:rPr>
  </w:style>
  <w:style w:type="character" w:customStyle="1" w:styleId="Heading8Char">
    <w:name w:val="Heading 8 Char"/>
    <w:link w:val="Heading8"/>
    <w:uiPriority w:val="9"/>
    <w:semiHidden/>
    <w:rsid w:val="0034363B"/>
    <w:rPr>
      <w:rFonts w:ascii="Cambria" w:eastAsia="MS Gothic" w:hAnsi="Cambria" w:cs="Times New Roman"/>
      <w:color w:val="272727"/>
      <w:sz w:val="21"/>
      <w:szCs w:val="21"/>
    </w:rPr>
  </w:style>
  <w:style w:type="character" w:customStyle="1" w:styleId="TableSpannerChar">
    <w:name w:val="TableSpanner Char"/>
    <w:link w:val="TableSpanner"/>
    <w:rsid w:val="00981E0B"/>
    <w:rPr>
      <w:rFonts w:ascii="Arial Narrow" w:eastAsia="Calibri" w:hAnsi="Arial Narrow" w:cs="Times New Roman"/>
      <w:sz w:val="18"/>
      <w:szCs w:val="22"/>
    </w:rPr>
  </w:style>
  <w:style w:type="paragraph" w:customStyle="1" w:styleId="TableSpanner">
    <w:name w:val="TableSpanner"/>
    <w:basedOn w:val="BaseText"/>
    <w:link w:val="TableSpannerChar"/>
    <w:rsid w:val="00981E0B"/>
    <w:pPr>
      <w:spacing w:line="240" w:lineRule="auto"/>
      <w:jc w:val="center"/>
    </w:pPr>
    <w:rPr>
      <w:rFonts w:ascii="Arial Narrow" w:hAnsi="Arial Narrow"/>
      <w:sz w:val="18"/>
      <w:szCs w:val="22"/>
    </w:rPr>
  </w:style>
  <w:style w:type="paragraph" w:customStyle="1" w:styleId="TableHead">
    <w:name w:val="TableHead"/>
    <w:basedOn w:val="BaseText"/>
    <w:rsid w:val="00712B5C"/>
    <w:pPr>
      <w:keepNext/>
      <w:spacing w:line="240" w:lineRule="auto"/>
      <w:jc w:val="center"/>
    </w:pPr>
    <w:rPr>
      <w:rFonts w:ascii="Arial Narrow" w:hAnsi="Arial Narrow"/>
      <w:b/>
      <w:sz w:val="20"/>
    </w:rPr>
  </w:style>
  <w:style w:type="paragraph" w:customStyle="1" w:styleId="TOCHeading1">
    <w:name w:val="TOC_Heading1"/>
    <w:basedOn w:val="BaseHeading"/>
    <w:rsid w:val="00BB3900"/>
    <w:pPr>
      <w:spacing w:before="240" w:after="120"/>
      <w:outlineLvl w:val="9"/>
    </w:pPr>
    <w:rPr>
      <w:b/>
      <w:sz w:val="32"/>
    </w:rPr>
  </w:style>
  <w:style w:type="paragraph" w:customStyle="1" w:styleId="BaseHeading">
    <w:name w:val="Base_Heading"/>
    <w:rsid w:val="00C77D07"/>
    <w:pPr>
      <w:keepNext/>
      <w:spacing w:after="0"/>
      <w:outlineLvl w:val="0"/>
    </w:pPr>
    <w:rPr>
      <w:rFonts w:ascii="Arial Narrow" w:eastAsia="Calibri" w:hAnsi="Arial Narrow" w:cs="Times New Roman"/>
    </w:rPr>
  </w:style>
  <w:style w:type="paragraph" w:customStyle="1" w:styleId="TOCObjectListItem">
    <w:name w:val="TOCObjectListItem"/>
    <w:basedOn w:val="BaseText"/>
    <w:rsid w:val="00644D11"/>
    <w:rPr>
      <w:rFonts w:ascii="Arial Narrow" w:hAnsi="Arial Narrow"/>
    </w:rPr>
  </w:style>
  <w:style w:type="paragraph" w:customStyle="1" w:styleId="BaseText">
    <w:name w:val="Base_Text"/>
    <w:link w:val="BaseTextChar"/>
    <w:rsid w:val="00E02CF8"/>
    <w:pPr>
      <w:spacing w:after="0"/>
    </w:pPr>
    <w:rPr>
      <w:rFonts w:eastAsia="Calibri" w:cs="Times New Roman"/>
    </w:rPr>
  </w:style>
  <w:style w:type="character" w:customStyle="1" w:styleId="BaseTextChar">
    <w:name w:val="Base_Text Char"/>
    <w:link w:val="BaseText"/>
    <w:rsid w:val="00E02CF8"/>
    <w:rPr>
      <w:rFonts w:ascii="Times New Roman" w:eastAsia="Calibri" w:hAnsi="Times New Roman" w:cs="Times New Roman"/>
      <w:sz w:val="24"/>
    </w:rPr>
  </w:style>
  <w:style w:type="paragraph" w:customStyle="1" w:styleId="FrontMatterSubhead">
    <w:name w:val="FrontMatterSubhead"/>
    <w:basedOn w:val="BaseHeading"/>
    <w:rsid w:val="00E02CF8"/>
    <w:pPr>
      <w:spacing w:before="240" w:after="120"/>
      <w:outlineLvl w:val="1"/>
    </w:pPr>
    <w:rPr>
      <w:b/>
      <w:sz w:val="26"/>
    </w:rPr>
  </w:style>
  <w:style w:type="paragraph" w:customStyle="1" w:styleId="TableBody">
    <w:name w:val="TableBody"/>
    <w:basedOn w:val="BaseText"/>
    <w:rsid w:val="00712B5C"/>
    <w:pPr>
      <w:spacing w:line="240" w:lineRule="auto"/>
      <w:ind w:left="187" w:hanging="187"/>
    </w:pPr>
    <w:rPr>
      <w:sz w:val="20"/>
    </w:rPr>
  </w:style>
  <w:style w:type="paragraph" w:customStyle="1" w:styleId="AckHeadFront">
    <w:name w:val="AckHeadFront"/>
    <w:basedOn w:val="AckHeadBack"/>
    <w:rsid w:val="00E02CF8"/>
  </w:style>
  <w:style w:type="paragraph" w:customStyle="1" w:styleId="AckHeadBack">
    <w:name w:val="AckHeadBack"/>
    <w:basedOn w:val="BaseHeading"/>
    <w:rsid w:val="00E02CF8"/>
    <w:pPr>
      <w:spacing w:before="240" w:after="120"/>
    </w:pPr>
    <w:rPr>
      <w:sz w:val="32"/>
    </w:rPr>
  </w:style>
  <w:style w:type="paragraph" w:customStyle="1" w:styleId="FrontMatterHead">
    <w:name w:val="FrontMatterHead"/>
    <w:basedOn w:val="BaseHeading"/>
    <w:rsid w:val="00BB3900"/>
    <w:pPr>
      <w:spacing w:before="240" w:after="120"/>
      <w:outlineLvl w:val="9"/>
    </w:pPr>
    <w:rPr>
      <w:b/>
      <w:sz w:val="32"/>
    </w:rPr>
  </w:style>
  <w:style w:type="paragraph" w:customStyle="1" w:styleId="RptAuthors">
    <w:name w:val="RptAuthors"/>
    <w:basedOn w:val="BaseText"/>
    <w:link w:val="RptAuthorsChar"/>
    <w:rsid w:val="00E02CF8"/>
    <w:pPr>
      <w:spacing w:before="480" w:after="480"/>
    </w:pPr>
    <w:rPr>
      <w:rFonts w:ascii="Arial Narrow" w:hAnsi="Arial Narrow"/>
    </w:rPr>
  </w:style>
  <w:style w:type="character" w:customStyle="1" w:styleId="RptAuthorsChar">
    <w:name w:val="RptAuthors Char"/>
    <w:link w:val="RptAuthors"/>
    <w:rsid w:val="009B14AD"/>
    <w:rPr>
      <w:rFonts w:ascii="Arial Narrow" w:eastAsia="Calibri" w:hAnsi="Arial Narrow" w:cs="Times New Roman"/>
    </w:rPr>
  </w:style>
  <w:style w:type="paragraph" w:customStyle="1" w:styleId="RptTitle">
    <w:name w:val="RptTitle"/>
    <w:basedOn w:val="BaseHeading"/>
    <w:rsid w:val="00BB3900"/>
    <w:pPr>
      <w:spacing w:before="480" w:after="120"/>
      <w:outlineLvl w:val="9"/>
    </w:pPr>
    <w:rPr>
      <w:b/>
      <w:sz w:val="44"/>
    </w:rPr>
  </w:style>
  <w:style w:type="paragraph" w:customStyle="1" w:styleId="DefListItem">
    <w:name w:val="DefListItem"/>
    <w:basedOn w:val="BaseText"/>
    <w:rsid w:val="00C8764F"/>
    <w:pPr>
      <w:tabs>
        <w:tab w:val="left" w:pos="1440"/>
      </w:tabs>
    </w:pPr>
  </w:style>
  <w:style w:type="paragraph" w:customStyle="1" w:styleId="DefListTitleFront">
    <w:name w:val="DefListTitleFront"/>
    <w:basedOn w:val="BaseHeading"/>
    <w:rsid w:val="00BB3900"/>
    <w:pPr>
      <w:spacing w:before="240" w:after="120"/>
      <w:outlineLvl w:val="9"/>
    </w:pPr>
    <w:rPr>
      <w:b/>
      <w:sz w:val="32"/>
    </w:rPr>
  </w:style>
  <w:style w:type="paragraph" w:customStyle="1" w:styleId="FrontMatterText">
    <w:name w:val="FrontMatterText"/>
    <w:basedOn w:val="BaseText"/>
    <w:rsid w:val="00E02CF8"/>
    <w:rPr>
      <w:rFonts w:ascii="Arial Narrow" w:hAnsi="Arial Narrow"/>
    </w:rPr>
  </w:style>
  <w:style w:type="paragraph" w:customStyle="1" w:styleId="BodyText">
    <w:name w:val="BodyText"/>
    <w:basedOn w:val="BaseText"/>
    <w:link w:val="BodyTextChar"/>
    <w:qFormat/>
    <w:rsid w:val="00E02CF8"/>
    <w:pPr>
      <w:spacing w:before="120"/>
      <w:ind w:firstLine="720"/>
    </w:pPr>
  </w:style>
  <w:style w:type="character" w:customStyle="1" w:styleId="BodyTextChar">
    <w:name w:val="BodyText Char"/>
    <w:link w:val="BodyText"/>
    <w:rsid w:val="0017565D"/>
    <w:rPr>
      <w:rFonts w:eastAsia="Calibri" w:cs="Times New Roman"/>
    </w:rPr>
  </w:style>
  <w:style w:type="paragraph" w:customStyle="1" w:styleId="FigureCaption">
    <w:name w:val="FigureCaption"/>
    <w:basedOn w:val="Caption"/>
    <w:link w:val="FigureCaptionChar"/>
    <w:qFormat/>
    <w:rsid w:val="002E2E3D"/>
    <w:pPr>
      <w:tabs>
        <w:tab w:val="left" w:pos="1080"/>
      </w:tabs>
      <w:spacing w:before="120" w:after="120"/>
    </w:pPr>
    <w:rPr>
      <w:rFonts w:ascii="Arial Narrow" w:hAnsi="Arial Narrow"/>
    </w:rPr>
  </w:style>
  <w:style w:type="paragraph" w:styleId="Caption">
    <w:name w:val="caption"/>
    <w:basedOn w:val="BaseText"/>
    <w:next w:val="Normal"/>
    <w:uiPriority w:val="35"/>
    <w:semiHidden/>
    <w:qFormat/>
    <w:rsid w:val="006F0737"/>
    <w:rPr>
      <w:iCs/>
      <w:szCs w:val="18"/>
    </w:rPr>
  </w:style>
  <w:style w:type="character" w:customStyle="1" w:styleId="FigureCaptionChar">
    <w:name w:val="FigureCaption Char"/>
    <w:link w:val="FigureCaption"/>
    <w:locked/>
    <w:rsid w:val="002E2E3D"/>
    <w:rPr>
      <w:rFonts w:ascii="Arial Narrow" w:eastAsia="Calibri" w:hAnsi="Arial Narrow" w:cs="Times New Roman"/>
      <w:iCs/>
      <w:szCs w:val="18"/>
    </w:rPr>
  </w:style>
  <w:style w:type="paragraph" w:customStyle="1" w:styleId="Head1">
    <w:name w:val="Head1"/>
    <w:basedOn w:val="BaseHeading"/>
    <w:qFormat/>
    <w:rsid w:val="00E02CF8"/>
    <w:pPr>
      <w:spacing w:before="240" w:after="120"/>
    </w:pPr>
    <w:rPr>
      <w:b/>
      <w:sz w:val="32"/>
    </w:rPr>
  </w:style>
  <w:style w:type="paragraph" w:customStyle="1" w:styleId="Head2">
    <w:name w:val="Head2"/>
    <w:basedOn w:val="BaseHeading"/>
    <w:qFormat/>
    <w:rsid w:val="00FD18F8"/>
    <w:pPr>
      <w:spacing w:before="240" w:after="120"/>
      <w:outlineLvl w:val="1"/>
    </w:pPr>
    <w:rPr>
      <w:b/>
      <w:sz w:val="28"/>
    </w:rPr>
  </w:style>
  <w:style w:type="paragraph" w:customStyle="1" w:styleId="Head3">
    <w:name w:val="Head3"/>
    <w:basedOn w:val="BaseHeading"/>
    <w:qFormat/>
    <w:rsid w:val="00FD18F8"/>
    <w:pPr>
      <w:spacing w:before="240" w:after="120"/>
      <w:outlineLvl w:val="2"/>
    </w:pPr>
    <w:rPr>
      <w:b/>
      <w:sz w:val="26"/>
    </w:rPr>
  </w:style>
  <w:style w:type="paragraph" w:customStyle="1" w:styleId="TableTitle">
    <w:name w:val="TableTitle"/>
    <w:basedOn w:val="BaseText"/>
    <w:qFormat/>
    <w:rsid w:val="002E2E3D"/>
    <w:pPr>
      <w:keepNext/>
      <w:tabs>
        <w:tab w:val="left" w:pos="1080"/>
      </w:tabs>
      <w:spacing w:before="120"/>
    </w:pPr>
    <w:rPr>
      <w:rFonts w:ascii="Arial Narrow" w:hAnsi="Arial Narrow"/>
    </w:rPr>
  </w:style>
  <w:style w:type="paragraph" w:customStyle="1" w:styleId="TableFootnote">
    <w:name w:val="TableFootnote"/>
    <w:basedOn w:val="BodyText"/>
    <w:rsid w:val="00981E0B"/>
    <w:pPr>
      <w:spacing w:line="240" w:lineRule="auto"/>
    </w:pPr>
    <w:rPr>
      <w:sz w:val="18"/>
    </w:rPr>
  </w:style>
  <w:style w:type="paragraph" w:customStyle="1" w:styleId="NumBulList1">
    <w:name w:val="Num_Bul_List_1"/>
    <w:basedOn w:val="BaseText"/>
    <w:qFormat/>
    <w:rsid w:val="0081293E"/>
    <w:pPr>
      <w:ind w:left="720"/>
    </w:pPr>
    <w:rPr>
      <w:rFonts w:eastAsia="Times New Roman"/>
    </w:rPr>
  </w:style>
  <w:style w:type="paragraph" w:customStyle="1" w:styleId="NumBulList2">
    <w:name w:val="Num_Bul_List_2"/>
    <w:basedOn w:val="NumBulList1"/>
    <w:rsid w:val="0081293E"/>
    <w:pPr>
      <w:spacing w:before="120"/>
      <w:ind w:left="1080"/>
    </w:pPr>
  </w:style>
  <w:style w:type="paragraph" w:customStyle="1" w:styleId="NumBulList3">
    <w:name w:val="Num_Bul_List_3"/>
    <w:basedOn w:val="Normal"/>
    <w:rsid w:val="0081293E"/>
    <w:pPr>
      <w:spacing w:before="120" w:after="0"/>
      <w:ind w:left="1440"/>
    </w:pPr>
    <w:rPr>
      <w:rFonts w:eastAsia="Times New Roman"/>
    </w:rPr>
  </w:style>
  <w:style w:type="paragraph" w:customStyle="1" w:styleId="NumBulList4">
    <w:name w:val="Num_Bul_List_4"/>
    <w:basedOn w:val="Normal"/>
    <w:rsid w:val="0081293E"/>
    <w:pPr>
      <w:spacing w:before="120" w:after="0"/>
      <w:ind w:left="1800"/>
    </w:pPr>
    <w:rPr>
      <w:rFonts w:eastAsia="Times New Roman"/>
    </w:rPr>
  </w:style>
  <w:style w:type="paragraph" w:customStyle="1" w:styleId="EquationDefList">
    <w:name w:val="EquationDefList"/>
    <w:basedOn w:val="BaseText"/>
    <w:qFormat/>
    <w:rsid w:val="00C8764F"/>
    <w:pPr>
      <w:ind w:left="1080" w:right="720" w:hanging="1080"/>
    </w:pPr>
  </w:style>
  <w:style w:type="paragraph" w:customStyle="1" w:styleId="EquationNum">
    <w:name w:val="EquationNum"/>
    <w:basedOn w:val="BaseText"/>
    <w:qFormat/>
    <w:rsid w:val="00C8764F"/>
    <w:pPr>
      <w:tabs>
        <w:tab w:val="right" w:pos="9360"/>
      </w:tabs>
      <w:spacing w:before="120" w:after="120"/>
      <w:ind w:left="1440"/>
    </w:pPr>
  </w:style>
  <w:style w:type="paragraph" w:customStyle="1" w:styleId="Head4">
    <w:name w:val="Head4"/>
    <w:basedOn w:val="BaseHeading"/>
    <w:qFormat/>
    <w:rsid w:val="00E02CF8"/>
    <w:pPr>
      <w:spacing w:before="240" w:after="120"/>
      <w:outlineLvl w:val="3"/>
    </w:pPr>
  </w:style>
  <w:style w:type="paragraph" w:customStyle="1" w:styleId="Reference">
    <w:name w:val="Reference"/>
    <w:basedOn w:val="BaseText"/>
    <w:link w:val="ReferenceChar"/>
    <w:qFormat/>
    <w:rsid w:val="00E02CF8"/>
    <w:pPr>
      <w:ind w:left="202" w:hanging="202"/>
    </w:pPr>
  </w:style>
  <w:style w:type="character" w:customStyle="1" w:styleId="ReferenceChar">
    <w:name w:val="Reference Char"/>
    <w:link w:val="Reference"/>
    <w:rsid w:val="009B14AD"/>
    <w:rPr>
      <w:rFonts w:eastAsia="Calibri" w:cs="Times New Roman"/>
    </w:rPr>
  </w:style>
  <w:style w:type="paragraph" w:customStyle="1" w:styleId="DefListTitleBack">
    <w:name w:val="DefListTitleBack"/>
    <w:basedOn w:val="BackMatterHead"/>
    <w:rsid w:val="00E02CF8"/>
  </w:style>
  <w:style w:type="paragraph" w:customStyle="1" w:styleId="BackMatterHead">
    <w:name w:val="BackMatterHead"/>
    <w:basedOn w:val="BaseHeading"/>
    <w:rsid w:val="00E02CF8"/>
    <w:pPr>
      <w:spacing w:before="240" w:after="120"/>
    </w:pPr>
    <w:rPr>
      <w:b/>
      <w:sz w:val="32"/>
    </w:rPr>
  </w:style>
  <w:style w:type="paragraph" w:customStyle="1" w:styleId="Head5">
    <w:name w:val="Head5"/>
    <w:basedOn w:val="BaseHeading"/>
    <w:rsid w:val="00E02CF8"/>
    <w:pPr>
      <w:spacing w:before="240" w:after="120"/>
      <w:outlineLvl w:val="4"/>
    </w:pPr>
    <w:rPr>
      <w:i/>
    </w:rPr>
  </w:style>
  <w:style w:type="paragraph" w:customStyle="1" w:styleId="RefHeadBack">
    <w:name w:val="RefHeadBack"/>
    <w:basedOn w:val="BaseHeading"/>
    <w:rsid w:val="00E02CF8"/>
    <w:pPr>
      <w:spacing w:before="240" w:after="120"/>
    </w:pPr>
    <w:rPr>
      <w:b/>
      <w:sz w:val="32"/>
    </w:rPr>
  </w:style>
  <w:style w:type="paragraph" w:customStyle="1" w:styleId="Collaborator">
    <w:name w:val="Collaborator"/>
    <w:basedOn w:val="BaseText"/>
    <w:link w:val="CollaboratorChar"/>
    <w:rsid w:val="00E02CF8"/>
    <w:pPr>
      <w:spacing w:before="480" w:line="240" w:lineRule="auto"/>
    </w:pPr>
    <w:rPr>
      <w:rFonts w:ascii="Arial Narrow" w:hAnsi="Arial Narrow"/>
      <w:b/>
      <w:sz w:val="28"/>
    </w:rPr>
  </w:style>
  <w:style w:type="character" w:customStyle="1" w:styleId="CollaboratorChar">
    <w:name w:val="Collaborator Char"/>
    <w:link w:val="Collaborator"/>
    <w:rsid w:val="0017565D"/>
    <w:rPr>
      <w:rFonts w:ascii="Arial Narrow" w:eastAsia="Calibri" w:hAnsi="Arial Narrow" w:cs="Times New Roman"/>
      <w:b/>
      <w:sz w:val="28"/>
    </w:rPr>
  </w:style>
  <w:style w:type="paragraph" w:customStyle="1" w:styleId="Quotation">
    <w:name w:val="Quotation"/>
    <w:basedOn w:val="BaseText"/>
    <w:rsid w:val="00E02CF8"/>
    <w:pPr>
      <w:spacing w:before="80" w:after="80"/>
      <w:ind w:left="346" w:right="691"/>
    </w:pPr>
  </w:style>
  <w:style w:type="paragraph" w:customStyle="1" w:styleId="QuotationFront">
    <w:name w:val="QuotationFront"/>
    <w:basedOn w:val="Quotation"/>
    <w:rsid w:val="00E02CF8"/>
  </w:style>
  <w:style w:type="character" w:styleId="Hyperlink">
    <w:name w:val="Hyperlink"/>
    <w:uiPriority w:val="99"/>
    <w:unhideWhenUsed/>
    <w:qFormat/>
    <w:rsid w:val="00E02CF8"/>
    <w:rPr>
      <w:color w:val="0000FF"/>
      <w:u w:val="none"/>
    </w:rPr>
  </w:style>
  <w:style w:type="paragraph" w:customStyle="1" w:styleId="TableHeadnote">
    <w:name w:val="TableHeadnote"/>
    <w:basedOn w:val="BaseText"/>
    <w:next w:val="TableHead"/>
    <w:link w:val="TableHeadnoteChar"/>
    <w:rsid w:val="002E2E3D"/>
    <w:pPr>
      <w:keepNext/>
    </w:pPr>
    <w:rPr>
      <w:rFonts w:eastAsia="Times New Roman"/>
      <w:szCs w:val="16"/>
    </w:rPr>
  </w:style>
  <w:style w:type="character" w:customStyle="1" w:styleId="TableHeadnoteChar">
    <w:name w:val="TableHeadnote Char"/>
    <w:link w:val="TableHeadnote"/>
    <w:rsid w:val="002E2E3D"/>
    <w:rPr>
      <w:rFonts w:eastAsia="Times New Roman" w:cs="Times New Roman"/>
      <w:szCs w:val="16"/>
    </w:rPr>
  </w:style>
  <w:style w:type="paragraph" w:customStyle="1" w:styleId="AppendixText">
    <w:name w:val="AppendixText"/>
    <w:basedOn w:val="Normal"/>
    <w:rsid w:val="00E02CF8"/>
    <w:pPr>
      <w:spacing w:after="0"/>
      <w:ind w:firstLine="720"/>
    </w:pPr>
  </w:style>
  <w:style w:type="paragraph" w:customStyle="1" w:styleId="AppendixTitle">
    <w:name w:val="AppendixTitle"/>
    <w:basedOn w:val="BaseHeading"/>
    <w:rsid w:val="00E02CF8"/>
    <w:pPr>
      <w:spacing w:after="120"/>
    </w:pPr>
    <w:rPr>
      <w:b/>
      <w:sz w:val="40"/>
    </w:rPr>
  </w:style>
  <w:style w:type="paragraph" w:customStyle="1" w:styleId="AppHead1">
    <w:name w:val="AppHead1"/>
    <w:basedOn w:val="Head1"/>
    <w:rsid w:val="00BB3900"/>
    <w:pPr>
      <w:outlineLvl w:val="9"/>
    </w:pPr>
  </w:style>
  <w:style w:type="paragraph" w:customStyle="1" w:styleId="AppHead2">
    <w:name w:val="AppHead2"/>
    <w:basedOn w:val="Head2"/>
    <w:rsid w:val="00BB3900"/>
    <w:pPr>
      <w:outlineLvl w:val="9"/>
    </w:pPr>
  </w:style>
  <w:style w:type="paragraph" w:customStyle="1" w:styleId="AppHead3">
    <w:name w:val="AppHead3"/>
    <w:basedOn w:val="Head3"/>
    <w:rsid w:val="00BB3900"/>
    <w:pPr>
      <w:outlineLvl w:val="9"/>
    </w:pPr>
  </w:style>
  <w:style w:type="paragraph" w:customStyle="1" w:styleId="AppHead4">
    <w:name w:val="AppHead4"/>
    <w:basedOn w:val="Head4"/>
    <w:rsid w:val="00BB3900"/>
    <w:pPr>
      <w:outlineLvl w:val="9"/>
    </w:pPr>
  </w:style>
  <w:style w:type="paragraph" w:customStyle="1" w:styleId="AppHead5">
    <w:name w:val="AppHead5"/>
    <w:basedOn w:val="Head5"/>
    <w:rsid w:val="00BB3900"/>
    <w:pPr>
      <w:outlineLvl w:val="9"/>
    </w:pPr>
  </w:style>
  <w:style w:type="paragraph" w:customStyle="1" w:styleId="RefHeadApp">
    <w:name w:val="RefHeadApp"/>
    <w:basedOn w:val="RefHeadBack"/>
    <w:rsid w:val="00BB3900"/>
    <w:pPr>
      <w:outlineLvl w:val="9"/>
    </w:pPr>
    <w:rPr>
      <w:sz w:val="28"/>
    </w:rPr>
  </w:style>
  <w:style w:type="paragraph" w:customStyle="1" w:styleId="Non-XMLText">
    <w:name w:val="Non-XML_Text"/>
    <w:basedOn w:val="BaseText"/>
    <w:rsid w:val="00E02CF8"/>
    <w:pPr>
      <w:spacing w:before="120" w:line="240" w:lineRule="auto"/>
    </w:pPr>
    <w:rPr>
      <w:rFonts w:eastAsia="Times New Roman"/>
      <w:color w:val="FF0000"/>
    </w:rPr>
  </w:style>
  <w:style w:type="paragraph" w:customStyle="1" w:styleId="QuoteSource">
    <w:name w:val="QuoteSource"/>
    <w:basedOn w:val="BaseText"/>
    <w:rsid w:val="00E02CF8"/>
    <w:pPr>
      <w:spacing w:after="240"/>
      <w:ind w:left="576" w:right="288"/>
    </w:pPr>
  </w:style>
  <w:style w:type="paragraph" w:customStyle="1" w:styleId="RefHeadChap">
    <w:name w:val="RefHeadChap"/>
    <w:basedOn w:val="RefHeadBack"/>
    <w:rsid w:val="00E02CF8"/>
  </w:style>
  <w:style w:type="paragraph" w:customStyle="1" w:styleId="DMU1">
    <w:name w:val="DMU1"/>
    <w:basedOn w:val="DMUParaCont"/>
    <w:rsid w:val="0006275E"/>
    <w:pPr>
      <w:ind w:left="720"/>
    </w:pPr>
  </w:style>
  <w:style w:type="paragraph" w:customStyle="1" w:styleId="DMU2">
    <w:name w:val="DMU2"/>
    <w:basedOn w:val="DMU3"/>
    <w:rsid w:val="0006275E"/>
    <w:pPr>
      <w:tabs>
        <w:tab w:val="left" w:pos="2070"/>
      </w:tabs>
      <w:ind w:left="2430" w:hanging="1710"/>
    </w:pPr>
  </w:style>
  <w:style w:type="paragraph" w:customStyle="1" w:styleId="DMU3">
    <w:name w:val="DMU3"/>
    <w:basedOn w:val="DMU4"/>
    <w:rsid w:val="0006275E"/>
    <w:pPr>
      <w:tabs>
        <w:tab w:val="clear" w:pos="3060"/>
        <w:tab w:val="left" w:pos="2340"/>
      </w:tabs>
      <w:ind w:left="2790" w:hanging="2070"/>
    </w:pPr>
  </w:style>
  <w:style w:type="paragraph" w:customStyle="1" w:styleId="DMU4">
    <w:name w:val="DMU4"/>
    <w:basedOn w:val="DMU5"/>
    <w:rsid w:val="0006275E"/>
    <w:pPr>
      <w:tabs>
        <w:tab w:val="left" w:pos="2700"/>
      </w:tabs>
      <w:ind w:left="3060" w:hanging="2340"/>
    </w:pPr>
  </w:style>
  <w:style w:type="paragraph" w:customStyle="1" w:styleId="DMU5">
    <w:name w:val="DMU5"/>
    <w:basedOn w:val="Normal"/>
    <w:rsid w:val="0006275E"/>
    <w:pPr>
      <w:tabs>
        <w:tab w:val="left" w:pos="3060"/>
      </w:tabs>
      <w:spacing w:after="0"/>
      <w:ind w:left="3330" w:hanging="2610"/>
    </w:pPr>
    <w:rPr>
      <w:rFonts w:eastAsia="Calibri" w:cs="Times New Roman"/>
    </w:rPr>
  </w:style>
  <w:style w:type="paragraph" w:customStyle="1" w:styleId="DMUAuthors">
    <w:name w:val="DMUAuthors"/>
    <w:basedOn w:val="BaseText"/>
    <w:link w:val="DMUAuthorsChar"/>
    <w:rsid w:val="00E02CF8"/>
    <w:pPr>
      <w:jc w:val="center"/>
    </w:pPr>
  </w:style>
  <w:style w:type="character" w:customStyle="1" w:styleId="DMUAuthorsChar">
    <w:name w:val="DMUAuthors Char"/>
    <w:link w:val="DMUAuthors"/>
    <w:rsid w:val="00C54806"/>
    <w:rPr>
      <w:rFonts w:eastAsia="Calibri" w:cs="Times New Roman"/>
    </w:rPr>
  </w:style>
  <w:style w:type="paragraph" w:customStyle="1" w:styleId="DMUHead2">
    <w:name w:val="DMUHead2"/>
    <w:basedOn w:val="BaseHeading"/>
    <w:rsid w:val="00BB3900"/>
    <w:pPr>
      <w:jc w:val="center"/>
      <w:outlineLvl w:val="9"/>
    </w:pPr>
    <w:rPr>
      <w:rFonts w:ascii="Times New Roman" w:hAnsi="Times New Roman"/>
      <w:b/>
      <w:caps/>
    </w:rPr>
  </w:style>
  <w:style w:type="paragraph" w:customStyle="1" w:styleId="DMUHead3">
    <w:name w:val="DMUHead3"/>
    <w:basedOn w:val="BaseHeading"/>
    <w:rsid w:val="00BB3900"/>
    <w:pPr>
      <w:jc w:val="center"/>
      <w:outlineLvl w:val="9"/>
    </w:pPr>
    <w:rPr>
      <w:rFonts w:ascii="Times New Roman" w:hAnsi="Times New Roman"/>
      <w:caps/>
    </w:rPr>
  </w:style>
  <w:style w:type="paragraph" w:customStyle="1" w:styleId="DMUHead4">
    <w:name w:val="DMUHead4"/>
    <w:basedOn w:val="BaseHeading"/>
    <w:rsid w:val="00BB3900"/>
    <w:pPr>
      <w:jc w:val="center"/>
      <w:outlineLvl w:val="9"/>
    </w:pPr>
    <w:rPr>
      <w:rFonts w:ascii="Times New Roman" w:hAnsi="Times New Roman"/>
    </w:rPr>
  </w:style>
  <w:style w:type="paragraph" w:customStyle="1" w:styleId="DMUBodyPara">
    <w:name w:val="DMUBodyPara"/>
    <w:basedOn w:val="BaseText"/>
    <w:rsid w:val="00E02CF8"/>
  </w:style>
  <w:style w:type="paragraph" w:customStyle="1" w:styleId="DMUParaCont">
    <w:name w:val="DMUParaCont"/>
    <w:basedOn w:val="BaseText"/>
    <w:rsid w:val="0006275E"/>
    <w:pPr>
      <w:ind w:left="1080"/>
    </w:pPr>
  </w:style>
  <w:style w:type="paragraph" w:customStyle="1" w:styleId="DMUHead1Back">
    <w:name w:val="DMUHead1Back"/>
    <w:basedOn w:val="DMUHead1Front"/>
    <w:rsid w:val="0081293E"/>
    <w:rPr>
      <w:sz w:val="28"/>
    </w:rPr>
  </w:style>
  <w:style w:type="paragraph" w:customStyle="1" w:styleId="DMUHead1Front">
    <w:name w:val="DMUHead1Front"/>
    <w:basedOn w:val="BaseHeading"/>
    <w:rsid w:val="00E02CF8"/>
    <w:pPr>
      <w:jc w:val="center"/>
    </w:pPr>
    <w:rPr>
      <w:rFonts w:ascii="Times New Roman" w:hAnsi="Times New Roman"/>
      <w:b/>
      <w:caps/>
    </w:rPr>
  </w:style>
  <w:style w:type="paragraph" w:customStyle="1" w:styleId="DMUHead5">
    <w:name w:val="DMUHead5"/>
    <w:basedOn w:val="BaseHeading"/>
    <w:rsid w:val="00BB3900"/>
    <w:pPr>
      <w:jc w:val="center"/>
      <w:outlineLvl w:val="9"/>
    </w:pPr>
    <w:rPr>
      <w:rFonts w:ascii="Times New Roman" w:hAnsi="Times New Roman"/>
      <w:i/>
    </w:rPr>
  </w:style>
  <w:style w:type="paragraph" w:customStyle="1" w:styleId="RefHeadFront">
    <w:name w:val="RefHeadFront"/>
    <w:basedOn w:val="RefHeadBack"/>
    <w:rsid w:val="00E02CF8"/>
  </w:style>
  <w:style w:type="paragraph" w:customStyle="1" w:styleId="RefHeadnote">
    <w:name w:val="RefHeadnote"/>
    <w:basedOn w:val="BodyText"/>
    <w:rsid w:val="00E02CF8"/>
  </w:style>
  <w:style w:type="paragraph" w:customStyle="1" w:styleId="FootnoteText1">
    <w:name w:val="Footnote Text1"/>
    <w:basedOn w:val="BaseText"/>
    <w:rsid w:val="00E02CF8"/>
    <w:pPr>
      <w:spacing w:line="240" w:lineRule="auto"/>
    </w:pPr>
  </w:style>
  <w:style w:type="paragraph" w:customStyle="1" w:styleId="Abstract">
    <w:name w:val="Abstract"/>
    <w:basedOn w:val="BaseText"/>
    <w:rsid w:val="00E02CF8"/>
    <w:pPr>
      <w:ind w:firstLine="720"/>
    </w:pPr>
  </w:style>
  <w:style w:type="paragraph" w:customStyle="1" w:styleId="AbstractHead">
    <w:name w:val="AbstractHead"/>
    <w:basedOn w:val="BaseHeading"/>
    <w:rsid w:val="00377520"/>
    <w:pPr>
      <w:spacing w:before="240" w:after="120"/>
    </w:pPr>
    <w:rPr>
      <w:b/>
      <w:sz w:val="32"/>
    </w:rPr>
  </w:style>
  <w:style w:type="paragraph" w:customStyle="1" w:styleId="AckHeadChap">
    <w:name w:val="AckHeadChap"/>
    <w:basedOn w:val="AckHeadBack"/>
    <w:rsid w:val="00E02CF8"/>
  </w:style>
  <w:style w:type="paragraph" w:customStyle="1" w:styleId="AckHeadApp">
    <w:name w:val="AckHeadApp"/>
    <w:basedOn w:val="AckHeadChap"/>
    <w:rsid w:val="00BB3900"/>
    <w:pPr>
      <w:outlineLvl w:val="9"/>
    </w:pPr>
  </w:style>
  <w:style w:type="paragraph" w:customStyle="1" w:styleId="Acknowledgments">
    <w:name w:val="Acknowledgments"/>
    <w:basedOn w:val="BaseText"/>
    <w:rsid w:val="00E02CF8"/>
    <w:rPr>
      <w:rFonts w:ascii="Arial Narrow" w:hAnsi="Arial Narrow"/>
    </w:rPr>
  </w:style>
  <w:style w:type="paragraph" w:customStyle="1" w:styleId="Affiliations">
    <w:name w:val="Affiliations"/>
    <w:basedOn w:val="BaseText"/>
    <w:rsid w:val="00E02CF8"/>
    <w:pPr>
      <w:spacing w:before="120" w:after="120" w:line="360" w:lineRule="auto"/>
    </w:pPr>
    <w:rPr>
      <w:rFonts w:ascii="Arial Narrow" w:eastAsia="Times New Roman" w:hAnsi="Arial Narrow"/>
    </w:rPr>
  </w:style>
  <w:style w:type="paragraph" w:customStyle="1" w:styleId="AppendixAuthors">
    <w:name w:val="AppendixAuthors"/>
    <w:basedOn w:val="BaseText"/>
    <w:rsid w:val="00E02CF8"/>
    <w:pPr>
      <w:spacing w:before="480" w:after="480"/>
    </w:pPr>
    <w:rPr>
      <w:rFonts w:ascii="Arial Narrow" w:hAnsi="Arial Narrow"/>
    </w:rPr>
  </w:style>
  <w:style w:type="paragraph" w:customStyle="1" w:styleId="AppendixChapAuthors">
    <w:name w:val="AppendixChapAuthors"/>
    <w:basedOn w:val="BaseText"/>
    <w:rsid w:val="00E02CF8"/>
    <w:pPr>
      <w:spacing w:before="480" w:after="480"/>
    </w:pPr>
    <w:rPr>
      <w:rFonts w:ascii="Arial Narrow" w:hAnsi="Arial Narrow"/>
    </w:rPr>
  </w:style>
  <w:style w:type="paragraph" w:customStyle="1" w:styleId="AppendixTitleChap">
    <w:name w:val="AppendixTitleChap"/>
    <w:basedOn w:val="AppendixTitle"/>
    <w:rsid w:val="00E02CF8"/>
  </w:style>
  <w:style w:type="paragraph" w:customStyle="1" w:styleId="AuthorFootnote">
    <w:name w:val="AuthorFootnote"/>
    <w:basedOn w:val="BaseText"/>
    <w:rsid w:val="00E02CF8"/>
    <w:rPr>
      <w:rFonts w:ascii="Arial Narrow" w:hAnsi="Arial Narrow"/>
    </w:rPr>
  </w:style>
  <w:style w:type="paragraph" w:customStyle="1" w:styleId="BackMatterSubhead">
    <w:name w:val="BackMatterSubhead"/>
    <w:basedOn w:val="BaseHeading"/>
    <w:rsid w:val="00E02CF8"/>
    <w:pPr>
      <w:spacing w:before="240" w:after="120"/>
      <w:outlineLvl w:val="1"/>
    </w:pPr>
    <w:rPr>
      <w:b/>
      <w:sz w:val="26"/>
    </w:rPr>
  </w:style>
  <w:style w:type="paragraph" w:customStyle="1" w:styleId="BackMatterText">
    <w:name w:val="BackMatterText"/>
    <w:basedOn w:val="BaseText"/>
    <w:rsid w:val="00E02CF8"/>
    <w:pPr>
      <w:ind w:firstLine="720"/>
    </w:pPr>
  </w:style>
  <w:style w:type="paragraph" w:customStyle="1" w:styleId="BkEditors">
    <w:name w:val="BkEditors"/>
    <w:basedOn w:val="BaseText"/>
    <w:rsid w:val="00E02CF8"/>
    <w:pPr>
      <w:spacing w:before="480" w:after="480"/>
    </w:pPr>
    <w:rPr>
      <w:rFonts w:ascii="Arial Narrow" w:hAnsi="Arial Narrow"/>
    </w:rPr>
  </w:style>
  <w:style w:type="paragraph" w:customStyle="1" w:styleId="BodyNoIndent">
    <w:name w:val="BodyNoIndent"/>
    <w:basedOn w:val="BodyText"/>
    <w:qFormat/>
    <w:rsid w:val="00E02CF8"/>
    <w:pPr>
      <w:ind w:firstLine="0"/>
    </w:pPr>
  </w:style>
  <w:style w:type="paragraph" w:customStyle="1" w:styleId="BookTitle1">
    <w:name w:val="Book Title1"/>
    <w:basedOn w:val="BaseHeading"/>
    <w:rsid w:val="00E02CF8"/>
    <w:pPr>
      <w:spacing w:before="120" w:line="240" w:lineRule="auto"/>
    </w:pPr>
    <w:rPr>
      <w:b/>
      <w:sz w:val="28"/>
    </w:rPr>
  </w:style>
  <w:style w:type="paragraph" w:customStyle="1" w:styleId="BoxBegin">
    <w:name w:val="BoxBegin"/>
    <w:basedOn w:val="BaseText"/>
    <w:rsid w:val="00E02CF8"/>
    <w:rPr>
      <w:color w:val="76923C"/>
    </w:rPr>
  </w:style>
  <w:style w:type="paragraph" w:customStyle="1" w:styleId="BoxEnd">
    <w:name w:val="BoxEnd"/>
    <w:basedOn w:val="BoxBegin"/>
    <w:rsid w:val="00E02CF8"/>
  </w:style>
  <w:style w:type="paragraph" w:customStyle="1" w:styleId="BoxHead1">
    <w:name w:val="BoxHead1"/>
    <w:basedOn w:val="Head1"/>
    <w:rsid w:val="00E02CF8"/>
    <w:pPr>
      <w:shd w:val="pct5" w:color="auto" w:fill="auto"/>
    </w:pPr>
  </w:style>
  <w:style w:type="paragraph" w:customStyle="1" w:styleId="BoxHead2">
    <w:name w:val="BoxHead2"/>
    <w:basedOn w:val="Head2"/>
    <w:rsid w:val="00E02CF8"/>
    <w:pPr>
      <w:shd w:val="pct5" w:color="auto" w:fill="auto"/>
    </w:pPr>
  </w:style>
  <w:style w:type="paragraph" w:customStyle="1" w:styleId="BoxHead3">
    <w:name w:val="BoxHead3"/>
    <w:basedOn w:val="Head3"/>
    <w:rsid w:val="00E02CF8"/>
    <w:pPr>
      <w:shd w:val="pct5" w:color="auto" w:fill="auto"/>
    </w:pPr>
  </w:style>
  <w:style w:type="paragraph" w:customStyle="1" w:styleId="BoxHead4">
    <w:name w:val="BoxHead4"/>
    <w:basedOn w:val="Head4"/>
    <w:rsid w:val="00E02CF8"/>
    <w:pPr>
      <w:shd w:val="pct5" w:color="auto" w:fill="auto"/>
    </w:pPr>
  </w:style>
  <w:style w:type="paragraph" w:customStyle="1" w:styleId="ChapAuthors">
    <w:name w:val="ChapAuthors"/>
    <w:basedOn w:val="BaseText"/>
    <w:rsid w:val="00E02CF8"/>
    <w:pPr>
      <w:spacing w:before="480" w:after="480"/>
    </w:pPr>
    <w:rPr>
      <w:rFonts w:ascii="Arial Narrow" w:hAnsi="Arial Narrow"/>
    </w:rPr>
  </w:style>
  <w:style w:type="paragraph" w:customStyle="1" w:styleId="ChapEditors">
    <w:name w:val="ChapEditors"/>
    <w:basedOn w:val="BkEditors"/>
    <w:rsid w:val="00E02CF8"/>
  </w:style>
  <w:style w:type="paragraph" w:customStyle="1" w:styleId="ChapterNum">
    <w:name w:val="ChapterNum"/>
    <w:basedOn w:val="BaseHeading"/>
    <w:rsid w:val="00E02CF8"/>
    <w:pPr>
      <w:spacing w:before="120" w:after="240"/>
    </w:pPr>
    <w:rPr>
      <w:b/>
      <w:sz w:val="40"/>
    </w:rPr>
  </w:style>
  <w:style w:type="paragraph" w:customStyle="1" w:styleId="ChapterTitle">
    <w:name w:val="ChapterTitle"/>
    <w:basedOn w:val="ChapterNum"/>
    <w:rsid w:val="00E02CF8"/>
  </w:style>
  <w:style w:type="paragraph" w:customStyle="1" w:styleId="CitationTitle">
    <w:name w:val="CitationTitle"/>
    <w:basedOn w:val="BaseText"/>
    <w:rsid w:val="00E02CF8"/>
  </w:style>
  <w:style w:type="paragraph" w:customStyle="1" w:styleId="RefHeadSec">
    <w:name w:val="RefHeadSec"/>
    <w:basedOn w:val="RefHeadChap"/>
    <w:rsid w:val="00E02CF8"/>
    <w:rPr>
      <w:sz w:val="28"/>
    </w:rPr>
  </w:style>
  <w:style w:type="paragraph" w:customStyle="1" w:styleId="Compiler">
    <w:name w:val="Compiler"/>
    <w:basedOn w:val="BaseText"/>
    <w:rsid w:val="00E02CF8"/>
    <w:pPr>
      <w:spacing w:before="480" w:after="480"/>
    </w:pPr>
    <w:rPr>
      <w:rFonts w:ascii="Arial Narrow" w:hAnsi="Arial Narrow"/>
    </w:rPr>
  </w:style>
  <w:style w:type="paragraph" w:customStyle="1" w:styleId="CustomDisclaimer">
    <w:name w:val="CustomDisclaimer"/>
    <w:basedOn w:val="BaseText"/>
    <w:rsid w:val="00E02CF8"/>
    <w:pPr>
      <w:spacing w:before="120" w:after="120"/>
      <w:ind w:left="1728" w:right="288"/>
    </w:pPr>
  </w:style>
  <w:style w:type="paragraph" w:customStyle="1" w:styleId="DefListHead1">
    <w:name w:val="DefListHead1"/>
    <w:basedOn w:val="BaseHeading"/>
    <w:rsid w:val="00E02CF8"/>
    <w:pPr>
      <w:jc w:val="center"/>
      <w:outlineLvl w:val="1"/>
    </w:pPr>
    <w:rPr>
      <w:b/>
      <w:sz w:val="28"/>
    </w:rPr>
  </w:style>
  <w:style w:type="paragraph" w:customStyle="1" w:styleId="DefListHead2">
    <w:name w:val="DefListHead2"/>
    <w:basedOn w:val="BaseHeading"/>
    <w:rsid w:val="00E02CF8"/>
    <w:pPr>
      <w:jc w:val="center"/>
      <w:outlineLvl w:val="2"/>
    </w:pPr>
    <w:rPr>
      <w:b/>
    </w:rPr>
  </w:style>
  <w:style w:type="paragraph" w:customStyle="1" w:styleId="DefListHead3">
    <w:name w:val="DefListHead3"/>
    <w:basedOn w:val="BaseHeading"/>
    <w:rsid w:val="00E02CF8"/>
    <w:pPr>
      <w:jc w:val="center"/>
      <w:outlineLvl w:val="3"/>
    </w:pPr>
  </w:style>
  <w:style w:type="paragraph" w:customStyle="1" w:styleId="DefListHead4">
    <w:name w:val="DefListHead4"/>
    <w:basedOn w:val="BaseHeading"/>
    <w:rsid w:val="00E02CF8"/>
    <w:pPr>
      <w:jc w:val="center"/>
    </w:pPr>
    <w:rPr>
      <w:sz w:val="22"/>
    </w:rPr>
  </w:style>
  <w:style w:type="paragraph" w:customStyle="1" w:styleId="DefListItemDMU">
    <w:name w:val="DefListItemDMU"/>
    <w:basedOn w:val="BaseText"/>
    <w:rsid w:val="00E02CF8"/>
    <w:pPr>
      <w:ind w:left="720" w:hanging="720"/>
    </w:pPr>
  </w:style>
  <w:style w:type="paragraph" w:customStyle="1" w:styleId="DefListPara">
    <w:name w:val="DefListPara"/>
    <w:basedOn w:val="BodyText"/>
    <w:rsid w:val="007B10FC"/>
    <w:pPr>
      <w:ind w:firstLine="0"/>
    </w:pPr>
  </w:style>
  <w:style w:type="paragraph" w:customStyle="1" w:styleId="DefListSubhead">
    <w:name w:val="DefListSubhead"/>
    <w:basedOn w:val="BaseHeading"/>
    <w:rsid w:val="00E02CF8"/>
    <w:rPr>
      <w:b/>
    </w:rPr>
  </w:style>
  <w:style w:type="paragraph" w:customStyle="1" w:styleId="DefListSubItem">
    <w:name w:val="DefListSubItem"/>
    <w:basedOn w:val="DefListItem"/>
    <w:rsid w:val="00E02CF8"/>
    <w:pPr>
      <w:ind w:left="720"/>
    </w:pPr>
  </w:style>
  <w:style w:type="paragraph" w:customStyle="1" w:styleId="DefListSubsubhead">
    <w:name w:val="DefListSubsubhead"/>
    <w:basedOn w:val="DefListSubhead"/>
    <w:rsid w:val="00E02CF8"/>
    <w:pPr>
      <w:ind w:left="720"/>
    </w:pPr>
    <w:rPr>
      <w:sz w:val="22"/>
    </w:rPr>
  </w:style>
  <w:style w:type="paragraph" w:customStyle="1" w:styleId="FigCaptionCont">
    <w:name w:val="FigCaptionCont"/>
    <w:basedOn w:val="FigureCaption"/>
    <w:rsid w:val="00E02CF8"/>
    <w:pPr>
      <w:ind w:left="720"/>
    </w:pPr>
  </w:style>
  <w:style w:type="paragraph" w:customStyle="1" w:styleId="FigAltText">
    <w:name w:val="FigAltText"/>
    <w:basedOn w:val="FigCaptionCont"/>
    <w:rsid w:val="00E02CF8"/>
  </w:style>
  <w:style w:type="paragraph" w:customStyle="1" w:styleId="FigCaptionAddtnlPara">
    <w:name w:val="FigCaptionAddtnlPara"/>
    <w:basedOn w:val="FigCaptionCont"/>
    <w:rsid w:val="00E02CF8"/>
  </w:style>
  <w:style w:type="paragraph" w:customStyle="1" w:styleId="FigTOCTitle">
    <w:name w:val="FigTOCTitle"/>
    <w:basedOn w:val="BaseText"/>
    <w:rsid w:val="00E02CF8"/>
    <w:pPr>
      <w:ind w:left="720"/>
    </w:pPr>
    <w:rPr>
      <w:rFonts w:ascii="Arial Narrow" w:hAnsi="Arial Narrow"/>
    </w:rPr>
  </w:style>
  <w:style w:type="paragraph" w:customStyle="1" w:styleId="ForewordText">
    <w:name w:val="ForewordText"/>
    <w:basedOn w:val="BaseText"/>
    <w:rsid w:val="00E02CF8"/>
    <w:pPr>
      <w:ind w:firstLine="720"/>
    </w:pPr>
    <w:rPr>
      <w:rFonts w:ascii="Arial Narrow" w:hAnsi="Arial Narrow"/>
    </w:rPr>
  </w:style>
  <w:style w:type="paragraph" w:customStyle="1" w:styleId="ForewordTitle">
    <w:name w:val="ForewordTitle"/>
    <w:basedOn w:val="Normal"/>
    <w:rsid w:val="00E02CF8"/>
    <w:pPr>
      <w:spacing w:before="240" w:after="120"/>
      <w:outlineLvl w:val="0"/>
    </w:pPr>
    <w:rPr>
      <w:rFonts w:ascii="Arial Narrow" w:hAnsi="Arial Narrow"/>
      <w:b/>
      <w:sz w:val="32"/>
    </w:rPr>
  </w:style>
  <w:style w:type="paragraph" w:customStyle="1" w:styleId="FrontCoverText">
    <w:name w:val="FrontCoverText"/>
    <w:basedOn w:val="FigureCaption"/>
    <w:rsid w:val="00E02CF8"/>
  </w:style>
  <w:style w:type="paragraph" w:customStyle="1" w:styleId="Head6">
    <w:name w:val="Head6"/>
    <w:basedOn w:val="BaseHeading"/>
    <w:rsid w:val="00E02CF8"/>
    <w:pPr>
      <w:spacing w:before="120" w:after="120"/>
      <w:outlineLvl w:val="5"/>
    </w:pPr>
    <w:rPr>
      <w:sz w:val="22"/>
    </w:rPr>
  </w:style>
  <w:style w:type="paragraph" w:customStyle="1" w:styleId="Head7">
    <w:name w:val="Head7"/>
    <w:basedOn w:val="BaseHeading"/>
    <w:rsid w:val="00E02CF8"/>
    <w:pPr>
      <w:spacing w:before="120" w:after="120"/>
      <w:outlineLvl w:val="6"/>
    </w:pPr>
    <w:rPr>
      <w:i/>
      <w:sz w:val="22"/>
    </w:rPr>
  </w:style>
  <w:style w:type="paragraph" w:customStyle="1" w:styleId="LayoutBoxInstruct">
    <w:name w:val="LayoutBoxInstruct"/>
    <w:basedOn w:val="BaseText"/>
    <w:rsid w:val="00E02CF8"/>
    <w:rPr>
      <w:color w:val="C00000"/>
    </w:rPr>
  </w:style>
  <w:style w:type="paragraph" w:customStyle="1" w:styleId="List1Continued">
    <w:name w:val="List_1_Continued"/>
    <w:basedOn w:val="BaseText"/>
    <w:rsid w:val="00E02CF8"/>
    <w:pPr>
      <w:autoSpaceDE w:val="0"/>
      <w:autoSpaceDN w:val="0"/>
      <w:adjustRightInd w:val="0"/>
      <w:spacing w:before="120" w:line="240" w:lineRule="auto"/>
      <w:ind w:left="720" w:right="720"/>
    </w:pPr>
    <w:rPr>
      <w:rFonts w:eastAsia="Times New Roman"/>
    </w:rPr>
  </w:style>
  <w:style w:type="paragraph" w:customStyle="1" w:styleId="List2Continued">
    <w:name w:val="List_2_Continued"/>
    <w:basedOn w:val="List1Continued"/>
    <w:rsid w:val="00E02CF8"/>
    <w:pPr>
      <w:ind w:left="1080"/>
    </w:pPr>
  </w:style>
  <w:style w:type="paragraph" w:customStyle="1" w:styleId="List3Continued">
    <w:name w:val="List_3_Continued"/>
    <w:basedOn w:val="List1Continued"/>
    <w:rsid w:val="00E02CF8"/>
    <w:pPr>
      <w:ind w:left="1440"/>
    </w:pPr>
  </w:style>
  <w:style w:type="paragraph" w:customStyle="1" w:styleId="List4Continued">
    <w:name w:val="List_4_Continued"/>
    <w:basedOn w:val="List1Continued"/>
    <w:rsid w:val="00E02CF8"/>
    <w:pPr>
      <w:ind w:left="1800"/>
    </w:pPr>
  </w:style>
  <w:style w:type="paragraph" w:customStyle="1" w:styleId="List5Continued">
    <w:name w:val="List_5_Continued"/>
    <w:basedOn w:val="List4Continued"/>
    <w:rsid w:val="00E02CF8"/>
    <w:pPr>
      <w:ind w:left="2160"/>
    </w:pPr>
  </w:style>
  <w:style w:type="paragraph" w:customStyle="1" w:styleId="NumBulList5">
    <w:name w:val="Num_Bul_List_5"/>
    <w:basedOn w:val="NumBulList4"/>
    <w:rsid w:val="0081293E"/>
    <w:pPr>
      <w:ind w:left="2160"/>
    </w:pPr>
  </w:style>
  <w:style w:type="paragraph" w:customStyle="1" w:styleId="PhotoCredit">
    <w:name w:val="PhotoCredit"/>
    <w:basedOn w:val="BaseText"/>
    <w:rsid w:val="00E02CF8"/>
    <w:pPr>
      <w:spacing w:after="240"/>
    </w:pPr>
    <w:rPr>
      <w:rFonts w:ascii="Arial Narrow" w:hAnsi="Arial Narrow"/>
    </w:rPr>
  </w:style>
  <w:style w:type="paragraph" w:customStyle="1" w:styleId="PrefaceText">
    <w:name w:val="PrefaceText"/>
    <w:basedOn w:val="BaseText"/>
    <w:rsid w:val="00E02CF8"/>
    <w:pPr>
      <w:ind w:firstLine="720"/>
    </w:pPr>
    <w:rPr>
      <w:rFonts w:ascii="Arial Narrow" w:hAnsi="Arial Narrow"/>
    </w:rPr>
  </w:style>
  <w:style w:type="paragraph" w:customStyle="1" w:styleId="PrefaceTitle">
    <w:name w:val="PrefaceTitle"/>
    <w:basedOn w:val="FrontMatterHead"/>
    <w:rsid w:val="00E02CF8"/>
  </w:style>
  <w:style w:type="paragraph" w:customStyle="1" w:styleId="Preformat">
    <w:name w:val="Preformat"/>
    <w:basedOn w:val="BaseText"/>
    <w:rsid w:val="00E02CF8"/>
    <w:pPr>
      <w:tabs>
        <w:tab w:val="left" w:pos="360"/>
        <w:tab w:val="left" w:pos="720"/>
        <w:tab w:val="left" w:pos="1080"/>
        <w:tab w:val="left" w:pos="1440"/>
        <w:tab w:val="left" w:pos="1800"/>
        <w:tab w:val="left" w:pos="2160"/>
        <w:tab w:val="left" w:pos="2520"/>
        <w:tab w:val="left" w:pos="2880"/>
      </w:tabs>
      <w:spacing w:before="120" w:line="240" w:lineRule="auto"/>
    </w:pPr>
    <w:rPr>
      <w:rFonts w:ascii="Courier New" w:eastAsia="Times New Roman" w:hAnsi="Courier New"/>
    </w:rPr>
  </w:style>
  <w:style w:type="paragraph" w:customStyle="1" w:styleId="ProgramNote">
    <w:name w:val="ProgramNote"/>
    <w:basedOn w:val="Collaborator"/>
    <w:rsid w:val="00E02CF8"/>
  </w:style>
  <w:style w:type="paragraph" w:customStyle="1" w:styleId="RptSubtitle">
    <w:name w:val="RptSubtitle"/>
    <w:basedOn w:val="BaseHeading"/>
    <w:rsid w:val="00E02CF8"/>
    <w:pPr>
      <w:spacing w:before="120" w:after="120"/>
      <w:outlineLvl w:val="9"/>
    </w:pPr>
    <w:rPr>
      <w:b/>
      <w:sz w:val="32"/>
    </w:rPr>
  </w:style>
  <w:style w:type="paragraph" w:customStyle="1" w:styleId="RunningHeadTitle">
    <w:name w:val="RunningHeadTitle"/>
    <w:basedOn w:val="BaseText"/>
    <w:rsid w:val="00E02CF8"/>
  </w:style>
  <w:style w:type="paragraph" w:customStyle="1" w:styleId="SecAuthors">
    <w:name w:val="SecAuthors"/>
    <w:basedOn w:val="ChapAuthors"/>
    <w:rsid w:val="00E02CF8"/>
  </w:style>
  <w:style w:type="paragraph" w:customStyle="1" w:styleId="SectionTitle">
    <w:name w:val="SectionTitle"/>
    <w:basedOn w:val="BaseHeading"/>
    <w:rsid w:val="00E02CF8"/>
    <w:pPr>
      <w:spacing w:before="240" w:after="120"/>
    </w:pPr>
    <w:rPr>
      <w:b/>
      <w:sz w:val="32"/>
    </w:rPr>
  </w:style>
  <w:style w:type="paragraph" w:customStyle="1" w:styleId="SeriesTitle">
    <w:name w:val="SeriesTitle"/>
    <w:basedOn w:val="BookTitle1"/>
    <w:rsid w:val="00E02CF8"/>
  </w:style>
  <w:style w:type="paragraph" w:customStyle="1" w:styleId="Sidebar">
    <w:name w:val="Sidebar"/>
    <w:basedOn w:val="BaseText"/>
    <w:rsid w:val="00E02CF8"/>
    <w:pPr>
      <w:shd w:val="pct5" w:color="auto" w:fill="auto"/>
      <w:ind w:firstLine="720"/>
    </w:pPr>
  </w:style>
  <w:style w:type="paragraph" w:customStyle="1" w:styleId="SidebarTitle">
    <w:name w:val="SidebarTitle"/>
    <w:basedOn w:val="BaseHeading"/>
    <w:rsid w:val="00E02CF8"/>
    <w:pPr>
      <w:shd w:val="pct5" w:color="auto" w:fill="auto"/>
      <w:spacing w:before="240" w:after="120"/>
    </w:pPr>
    <w:rPr>
      <w:b/>
    </w:rPr>
  </w:style>
  <w:style w:type="paragraph" w:customStyle="1" w:styleId="SigBlock">
    <w:name w:val="SigBlock"/>
    <w:basedOn w:val="BaseText"/>
    <w:rsid w:val="00E02CF8"/>
    <w:pPr>
      <w:spacing w:before="240" w:after="120"/>
      <w:ind w:left="2160" w:right="720"/>
    </w:pPr>
    <w:rPr>
      <w:rFonts w:ascii="Arial Narrow" w:hAnsi="Arial Narrow"/>
    </w:rPr>
  </w:style>
  <w:style w:type="paragraph" w:styleId="Revision">
    <w:name w:val="Revision"/>
    <w:hidden/>
    <w:uiPriority w:val="99"/>
    <w:semiHidden/>
    <w:rsid w:val="00A018CD"/>
    <w:pPr>
      <w:spacing w:after="0" w:line="240" w:lineRule="auto"/>
    </w:pPr>
  </w:style>
  <w:style w:type="paragraph" w:customStyle="1" w:styleId="fptitle">
    <w:name w:val="fp_title"/>
    <w:basedOn w:val="Normal"/>
    <w:rsid w:val="00644D11"/>
    <w:pPr>
      <w:spacing w:after="240" w:line="240" w:lineRule="auto"/>
      <w:jc w:val="center"/>
    </w:pPr>
    <w:rPr>
      <w:rFonts w:ascii="Arial Narrow" w:hAnsi="Arial Narrow" w:cs="Arial"/>
      <w:b/>
      <w:sz w:val="28"/>
      <w:szCs w:val="28"/>
    </w:rPr>
  </w:style>
  <w:style w:type="paragraph" w:customStyle="1" w:styleId="fpnote">
    <w:name w:val="fp_note"/>
    <w:basedOn w:val="Normal"/>
    <w:rsid w:val="007E4DB7"/>
    <w:pPr>
      <w:spacing w:after="360" w:line="240" w:lineRule="auto"/>
    </w:pPr>
    <w:rPr>
      <w:rFonts w:ascii="Arial Narrow" w:hAnsi="Arial Narrow" w:cs="Arial"/>
    </w:rPr>
  </w:style>
  <w:style w:type="paragraph" w:customStyle="1" w:styleId="fpitem">
    <w:name w:val="fp_item"/>
    <w:basedOn w:val="Normal"/>
    <w:rsid w:val="007E4DB7"/>
    <w:pPr>
      <w:spacing w:line="240" w:lineRule="auto"/>
    </w:pPr>
  </w:style>
  <w:style w:type="paragraph" w:customStyle="1" w:styleId="fpbullet">
    <w:name w:val="fp_bullet"/>
    <w:basedOn w:val="Normal"/>
    <w:rsid w:val="00135C91"/>
    <w:pPr>
      <w:spacing w:before="120" w:after="80" w:line="240" w:lineRule="auto"/>
      <w:ind w:left="720"/>
    </w:pPr>
    <w:rPr>
      <w:rFonts w:ascii="Arial Narrow" w:hAnsi="Arial Narrow"/>
    </w:rPr>
  </w:style>
  <w:style w:type="paragraph" w:customStyle="1" w:styleId="fpitem2">
    <w:name w:val="fp_item2"/>
    <w:basedOn w:val="Normal"/>
    <w:rsid w:val="00463992"/>
    <w:pPr>
      <w:spacing w:after="120" w:line="240" w:lineRule="auto"/>
      <w:ind w:left="634"/>
    </w:pPr>
    <w:rPr>
      <w:sz w:val="20"/>
    </w:rPr>
  </w:style>
  <w:style w:type="paragraph" w:customStyle="1" w:styleId="fpbullet2">
    <w:name w:val="fp_bullet2"/>
    <w:basedOn w:val="Normal"/>
    <w:rsid w:val="00E02CF8"/>
    <w:pPr>
      <w:spacing w:after="80" w:line="240" w:lineRule="auto"/>
      <w:ind w:left="634"/>
    </w:pPr>
    <w:rPr>
      <w:sz w:val="20"/>
    </w:rPr>
  </w:style>
  <w:style w:type="paragraph" w:customStyle="1" w:styleId="fpfootnote2">
    <w:name w:val="fp_footnote2"/>
    <w:basedOn w:val="FootnoteText1"/>
    <w:rsid w:val="00463992"/>
    <w:pPr>
      <w:ind w:left="432"/>
    </w:pPr>
    <w:rPr>
      <w:sz w:val="18"/>
    </w:rPr>
  </w:style>
  <w:style w:type="paragraph" w:customStyle="1" w:styleId="fpfootnote">
    <w:name w:val="fp_footnote"/>
    <w:rsid w:val="002762F1"/>
    <w:pPr>
      <w:spacing w:after="0" w:line="240" w:lineRule="auto"/>
    </w:pPr>
    <w:rPr>
      <w:rFonts w:eastAsia="Calibri" w:cs="Times New Roman"/>
      <w:sz w:val="20"/>
    </w:rPr>
  </w:style>
  <w:style w:type="character" w:customStyle="1" w:styleId="afaddr-line">
    <w:name w:val="af_addr-line"/>
    <w:rsid w:val="00E02CF8"/>
    <w:rPr>
      <w:bdr w:val="none" w:sz="0" w:space="0" w:color="auto"/>
      <w:shd w:val="clear" w:color="auto" w:fill="FFFF99"/>
    </w:rPr>
  </w:style>
  <w:style w:type="character" w:customStyle="1" w:styleId="afbase">
    <w:name w:val="af_base"/>
    <w:rsid w:val="00E02CF8"/>
  </w:style>
  <w:style w:type="character" w:customStyle="1" w:styleId="afcity">
    <w:name w:val="af_city"/>
    <w:rsid w:val="00E02CF8"/>
    <w:rPr>
      <w:bdr w:val="none" w:sz="0" w:space="0" w:color="auto"/>
      <w:shd w:val="clear" w:color="auto" w:fill="81E7FF"/>
    </w:rPr>
  </w:style>
  <w:style w:type="character" w:customStyle="1" w:styleId="afcountry">
    <w:name w:val="af_country"/>
    <w:rsid w:val="00E02CF8"/>
    <w:rPr>
      <w:bdr w:val="none" w:sz="0" w:space="0" w:color="auto"/>
      <w:shd w:val="clear" w:color="auto" w:fill="D7AFFF"/>
    </w:rPr>
  </w:style>
  <w:style w:type="character" w:customStyle="1" w:styleId="affax">
    <w:name w:val="af_fax"/>
    <w:rsid w:val="00E02CF8"/>
    <w:rPr>
      <w:bdr w:val="none" w:sz="0" w:space="0" w:color="auto"/>
      <w:shd w:val="clear" w:color="auto" w:fill="81E7FF"/>
    </w:rPr>
  </w:style>
  <w:style w:type="character" w:customStyle="1" w:styleId="afinstitution">
    <w:name w:val="af_institution"/>
    <w:rsid w:val="00E02CF8"/>
    <w:rPr>
      <w:bdr w:val="none" w:sz="0" w:space="0" w:color="auto"/>
      <w:shd w:val="clear" w:color="auto" w:fill="75FF75"/>
    </w:rPr>
  </w:style>
  <w:style w:type="character" w:customStyle="1" w:styleId="afphone">
    <w:name w:val="af_phone"/>
    <w:rsid w:val="00E02CF8"/>
    <w:rPr>
      <w:bdr w:val="none" w:sz="0" w:space="0" w:color="auto"/>
      <w:shd w:val="clear" w:color="auto" w:fill="FF75FF"/>
    </w:rPr>
  </w:style>
  <w:style w:type="character" w:customStyle="1" w:styleId="afpostcode">
    <w:name w:val="af_postcode"/>
    <w:rsid w:val="00E02CF8"/>
    <w:rPr>
      <w:bdr w:val="none" w:sz="0" w:space="0" w:color="auto"/>
      <w:shd w:val="clear" w:color="auto" w:fill="FF75FF"/>
    </w:rPr>
  </w:style>
  <w:style w:type="character" w:customStyle="1" w:styleId="afstate">
    <w:name w:val="af_state"/>
    <w:rsid w:val="00E02CF8"/>
    <w:rPr>
      <w:bdr w:val="none" w:sz="0" w:space="0" w:color="auto"/>
      <w:shd w:val="clear" w:color="auto" w:fill="75FF75"/>
    </w:rPr>
  </w:style>
  <w:style w:type="character" w:customStyle="1" w:styleId="aubase">
    <w:name w:val="au_base"/>
    <w:rsid w:val="00E02CF8"/>
  </w:style>
  <w:style w:type="character" w:customStyle="1" w:styleId="aucollab">
    <w:name w:val="au_collab"/>
    <w:rsid w:val="00E02CF8"/>
    <w:rPr>
      <w:bdr w:val="none" w:sz="0" w:space="0" w:color="auto"/>
      <w:shd w:val="clear" w:color="auto" w:fill="C0C0C0"/>
    </w:rPr>
  </w:style>
  <w:style w:type="character" w:customStyle="1" w:styleId="audeg">
    <w:name w:val="au_deg"/>
    <w:rsid w:val="00E02CF8"/>
    <w:rPr>
      <w:bdr w:val="none" w:sz="0" w:space="0" w:color="auto"/>
      <w:shd w:val="clear" w:color="auto" w:fill="FFFF00"/>
    </w:rPr>
  </w:style>
  <w:style w:type="character" w:customStyle="1" w:styleId="aufname">
    <w:name w:val="au_fname"/>
    <w:rsid w:val="00E02CF8"/>
    <w:rPr>
      <w:bdr w:val="none" w:sz="0" w:space="0" w:color="auto"/>
      <w:shd w:val="clear" w:color="auto" w:fill="FFFFCC"/>
    </w:rPr>
  </w:style>
  <w:style w:type="character" w:customStyle="1" w:styleId="aumember">
    <w:name w:val="au_member"/>
    <w:rsid w:val="00E02CF8"/>
    <w:rPr>
      <w:bdr w:val="none" w:sz="0" w:space="0" w:color="auto"/>
      <w:shd w:val="clear" w:color="auto" w:fill="FF99CC"/>
    </w:rPr>
  </w:style>
  <w:style w:type="character" w:customStyle="1" w:styleId="auprefix">
    <w:name w:val="au_prefix"/>
    <w:rsid w:val="00E02CF8"/>
    <w:rPr>
      <w:bdr w:val="none" w:sz="0" w:space="0" w:color="auto"/>
      <w:shd w:val="clear" w:color="auto" w:fill="FFCC99"/>
    </w:rPr>
  </w:style>
  <w:style w:type="character" w:customStyle="1" w:styleId="aurole">
    <w:name w:val="au_role"/>
    <w:rsid w:val="00E02CF8"/>
    <w:rPr>
      <w:bdr w:val="none" w:sz="0" w:space="0" w:color="auto"/>
      <w:shd w:val="clear" w:color="auto" w:fill="808000"/>
    </w:rPr>
  </w:style>
  <w:style w:type="character" w:customStyle="1" w:styleId="ausuffix">
    <w:name w:val="au_suffix"/>
    <w:rsid w:val="00E02CF8"/>
    <w:rPr>
      <w:bdr w:val="none" w:sz="0" w:space="0" w:color="auto"/>
      <w:shd w:val="clear" w:color="auto" w:fill="FF00FF"/>
    </w:rPr>
  </w:style>
  <w:style w:type="character" w:customStyle="1" w:styleId="ausurname">
    <w:name w:val="au_surname"/>
    <w:rsid w:val="00E02CF8"/>
    <w:rPr>
      <w:bdr w:val="none" w:sz="0" w:space="0" w:color="auto"/>
      <w:shd w:val="clear" w:color="auto" w:fill="CCFF99"/>
    </w:rPr>
  </w:style>
  <w:style w:type="character" w:customStyle="1" w:styleId="bibaccess-date">
    <w:name w:val="bib_access-date"/>
    <w:rsid w:val="00E02CF8"/>
    <w:rPr>
      <w:bdr w:val="none" w:sz="0" w:space="0" w:color="auto"/>
      <w:shd w:val="clear" w:color="auto" w:fill="C099F9"/>
    </w:rPr>
  </w:style>
  <w:style w:type="character" w:customStyle="1" w:styleId="bibalt-year">
    <w:name w:val="bib_alt-year"/>
    <w:rsid w:val="00E02CF8"/>
    <w:rPr>
      <w:szCs w:val="24"/>
      <w:bdr w:val="none" w:sz="0" w:space="0" w:color="auto"/>
      <w:shd w:val="clear" w:color="auto" w:fill="FEB8FB"/>
    </w:rPr>
  </w:style>
  <w:style w:type="character" w:customStyle="1" w:styleId="bibarticle">
    <w:name w:val="bib_article"/>
    <w:rsid w:val="00E02CF8"/>
    <w:rPr>
      <w:bdr w:val="none" w:sz="0" w:space="0" w:color="auto"/>
      <w:shd w:val="clear" w:color="auto" w:fill="CCFFFF"/>
    </w:rPr>
  </w:style>
  <w:style w:type="character" w:customStyle="1" w:styleId="bibbase">
    <w:name w:val="bib_base"/>
    <w:rsid w:val="00E02CF8"/>
  </w:style>
  <w:style w:type="character" w:customStyle="1" w:styleId="bibbook">
    <w:name w:val="bib_book"/>
    <w:rsid w:val="00E02CF8"/>
    <w:rPr>
      <w:bdr w:val="none" w:sz="0" w:space="0" w:color="auto"/>
      <w:shd w:val="clear" w:color="auto" w:fill="99CCFF"/>
    </w:rPr>
  </w:style>
  <w:style w:type="character" w:customStyle="1" w:styleId="bibchapterno">
    <w:name w:val="bib_chapterno"/>
    <w:rsid w:val="00E02CF8"/>
    <w:rPr>
      <w:bdr w:val="none" w:sz="0" w:space="0" w:color="auto"/>
      <w:shd w:val="clear" w:color="auto" w:fill="D9D9D9"/>
    </w:rPr>
  </w:style>
  <w:style w:type="character" w:customStyle="1" w:styleId="bibchaptertitle">
    <w:name w:val="bib_chaptertitle"/>
    <w:rsid w:val="00E02CF8"/>
    <w:rPr>
      <w:bdr w:val="none" w:sz="0" w:space="0" w:color="auto"/>
      <w:shd w:val="clear" w:color="auto" w:fill="FF9D5B"/>
    </w:rPr>
  </w:style>
  <w:style w:type="character" w:customStyle="1" w:styleId="bibcomment">
    <w:name w:val="bib_comment"/>
    <w:rsid w:val="00E02CF8"/>
    <w:rPr>
      <w:bdr w:val="none" w:sz="0" w:space="0" w:color="auto"/>
      <w:shd w:val="clear" w:color="auto" w:fill="E0E0E0"/>
    </w:rPr>
  </w:style>
  <w:style w:type="character" w:customStyle="1" w:styleId="bibconfacronym">
    <w:name w:val="bib_confacronym"/>
    <w:rsid w:val="00E02CF8"/>
    <w:rPr>
      <w:bdr w:val="none" w:sz="0" w:space="0" w:color="auto"/>
      <w:shd w:val="clear" w:color="auto" w:fill="FD77F3"/>
    </w:rPr>
  </w:style>
  <w:style w:type="character" w:customStyle="1" w:styleId="bibconfdate">
    <w:name w:val="bib_confdate"/>
    <w:rsid w:val="00E02CF8"/>
    <w:rPr>
      <w:bdr w:val="none" w:sz="0" w:space="0" w:color="auto"/>
      <w:shd w:val="clear" w:color="auto" w:fill="3CE0C1"/>
    </w:rPr>
  </w:style>
  <w:style w:type="character" w:customStyle="1" w:styleId="bibconference">
    <w:name w:val="bib_conference"/>
    <w:rsid w:val="00E02CF8"/>
    <w:rPr>
      <w:bdr w:val="none" w:sz="0" w:space="0" w:color="auto"/>
      <w:shd w:val="clear" w:color="auto" w:fill="9CB3FE"/>
    </w:rPr>
  </w:style>
  <w:style w:type="character" w:customStyle="1" w:styleId="bibconflocation">
    <w:name w:val="bib_conflocation"/>
    <w:rsid w:val="00E02CF8"/>
    <w:rPr>
      <w:bdr w:val="none" w:sz="0" w:space="0" w:color="auto"/>
      <w:shd w:val="clear" w:color="auto" w:fill="EC493C"/>
    </w:rPr>
  </w:style>
  <w:style w:type="character" w:customStyle="1" w:styleId="bibconfpaper">
    <w:name w:val="bib_confpaper"/>
    <w:rsid w:val="00E02CF8"/>
    <w:rPr>
      <w:bdr w:val="none" w:sz="0" w:space="0" w:color="auto"/>
      <w:shd w:val="clear" w:color="auto" w:fill="61FF65"/>
    </w:rPr>
  </w:style>
  <w:style w:type="character" w:customStyle="1" w:styleId="bibconfproceedings">
    <w:name w:val="bib_confproceedings"/>
    <w:rsid w:val="00E02CF8"/>
    <w:rPr>
      <w:bdr w:val="none" w:sz="0" w:space="0" w:color="auto"/>
      <w:shd w:val="clear" w:color="auto" w:fill="FDBA35"/>
    </w:rPr>
  </w:style>
  <w:style w:type="character" w:customStyle="1" w:styleId="bibday">
    <w:name w:val="bib_day"/>
    <w:rsid w:val="00E02CF8"/>
    <w:rPr>
      <w:bdr w:val="none" w:sz="0" w:space="0" w:color="auto"/>
      <w:shd w:val="clear" w:color="auto" w:fill="FFFF66"/>
    </w:rPr>
  </w:style>
  <w:style w:type="character" w:customStyle="1" w:styleId="bibdoi">
    <w:name w:val="bib_doi"/>
    <w:rsid w:val="00E02CF8"/>
    <w:rPr>
      <w:bdr w:val="none" w:sz="0" w:space="0" w:color="auto"/>
      <w:shd w:val="clear" w:color="auto" w:fill="CCFFCC"/>
    </w:rPr>
  </w:style>
  <w:style w:type="character" w:customStyle="1" w:styleId="bibed-etal">
    <w:name w:val="bib_ed-etal"/>
    <w:rsid w:val="00E02CF8"/>
    <w:rPr>
      <w:bdr w:val="none" w:sz="0" w:space="0" w:color="auto"/>
      <w:shd w:val="clear" w:color="auto" w:fill="00F4EE"/>
    </w:rPr>
  </w:style>
  <w:style w:type="character" w:customStyle="1" w:styleId="bibed-fname">
    <w:name w:val="bib_ed-fname"/>
    <w:rsid w:val="00E02CF8"/>
    <w:rPr>
      <w:bdr w:val="none" w:sz="0" w:space="0" w:color="auto"/>
      <w:shd w:val="clear" w:color="auto" w:fill="FFFFB7"/>
    </w:rPr>
  </w:style>
  <w:style w:type="character" w:customStyle="1" w:styleId="bibeditionno">
    <w:name w:val="bib_editionno"/>
    <w:rsid w:val="00E02CF8"/>
    <w:rPr>
      <w:bdr w:val="none" w:sz="0" w:space="0" w:color="auto"/>
      <w:shd w:val="clear" w:color="auto" w:fill="FFCC00"/>
    </w:rPr>
  </w:style>
  <w:style w:type="character" w:customStyle="1" w:styleId="bibed-organization">
    <w:name w:val="bib_ed-organization"/>
    <w:rsid w:val="00E02CF8"/>
    <w:rPr>
      <w:bdr w:val="none" w:sz="0" w:space="0" w:color="auto"/>
      <w:shd w:val="clear" w:color="auto" w:fill="FCAAC3"/>
    </w:rPr>
  </w:style>
  <w:style w:type="character" w:customStyle="1" w:styleId="bibed-suffix">
    <w:name w:val="bib_ed-suffix"/>
    <w:rsid w:val="00E02CF8"/>
    <w:rPr>
      <w:bdr w:val="none" w:sz="0" w:space="0" w:color="auto"/>
      <w:shd w:val="clear" w:color="auto" w:fill="CCFFCC"/>
    </w:rPr>
  </w:style>
  <w:style w:type="character" w:customStyle="1" w:styleId="bibed-surname">
    <w:name w:val="bib_ed-surname"/>
    <w:rsid w:val="00E02CF8"/>
    <w:rPr>
      <w:bdr w:val="none" w:sz="0" w:space="0" w:color="auto"/>
      <w:shd w:val="clear" w:color="auto" w:fill="FFFF00"/>
    </w:rPr>
  </w:style>
  <w:style w:type="character" w:customStyle="1" w:styleId="bibetal">
    <w:name w:val="bib_etal"/>
    <w:rsid w:val="00E02CF8"/>
    <w:rPr>
      <w:bdr w:val="none" w:sz="0" w:space="0" w:color="auto"/>
      <w:shd w:val="clear" w:color="auto" w:fill="CCFF99"/>
    </w:rPr>
  </w:style>
  <w:style w:type="character" w:customStyle="1" w:styleId="bibextlink">
    <w:name w:val="bib_extlink"/>
    <w:rsid w:val="00E02CF8"/>
    <w:rPr>
      <w:bdr w:val="none" w:sz="0" w:space="0" w:color="auto"/>
      <w:shd w:val="clear" w:color="auto" w:fill="6CCE9D"/>
    </w:rPr>
  </w:style>
  <w:style w:type="character" w:customStyle="1" w:styleId="bibfname">
    <w:name w:val="bib_fname"/>
    <w:rsid w:val="00E02CF8"/>
    <w:rPr>
      <w:bdr w:val="none" w:sz="0" w:space="0" w:color="auto"/>
      <w:shd w:val="clear" w:color="auto" w:fill="FFFFCC"/>
    </w:rPr>
  </w:style>
  <w:style w:type="character" w:customStyle="1" w:styleId="bibfpage">
    <w:name w:val="bib_fpage"/>
    <w:rsid w:val="00E02CF8"/>
    <w:rPr>
      <w:bdr w:val="none" w:sz="0" w:space="0" w:color="auto"/>
      <w:shd w:val="clear" w:color="auto" w:fill="E6E6E6"/>
    </w:rPr>
  </w:style>
  <w:style w:type="character" w:customStyle="1" w:styleId="bibinstitution">
    <w:name w:val="bib_institution"/>
    <w:rsid w:val="00E02CF8"/>
    <w:rPr>
      <w:bdr w:val="none" w:sz="0" w:space="0" w:color="auto"/>
      <w:shd w:val="clear" w:color="auto" w:fill="CCFFCC"/>
    </w:rPr>
  </w:style>
  <w:style w:type="character" w:customStyle="1" w:styleId="bibisbn">
    <w:name w:val="bib_isbn"/>
    <w:rsid w:val="00E02CF8"/>
    <w:rPr>
      <w:shd w:val="clear" w:color="auto" w:fill="D9D9D9"/>
    </w:rPr>
  </w:style>
  <w:style w:type="character" w:customStyle="1" w:styleId="bibissue">
    <w:name w:val="bib_issue"/>
    <w:rsid w:val="00E02CF8"/>
    <w:rPr>
      <w:bdr w:val="none" w:sz="0" w:space="0" w:color="auto"/>
      <w:shd w:val="clear" w:color="auto" w:fill="FFFFAB"/>
    </w:rPr>
  </w:style>
  <w:style w:type="character" w:customStyle="1" w:styleId="bibjournal">
    <w:name w:val="bib_journal"/>
    <w:rsid w:val="00E02CF8"/>
    <w:rPr>
      <w:bdr w:val="none" w:sz="0" w:space="0" w:color="auto"/>
      <w:shd w:val="clear" w:color="auto" w:fill="F9DECF"/>
    </w:rPr>
  </w:style>
  <w:style w:type="character" w:customStyle="1" w:styleId="biblocation">
    <w:name w:val="bib_location"/>
    <w:rsid w:val="00E02CF8"/>
    <w:rPr>
      <w:bdr w:val="none" w:sz="0" w:space="0" w:color="auto"/>
      <w:shd w:val="clear" w:color="auto" w:fill="FFCCCC"/>
    </w:rPr>
  </w:style>
  <w:style w:type="character" w:customStyle="1" w:styleId="biblpage">
    <w:name w:val="bib_lpage"/>
    <w:rsid w:val="00E02CF8"/>
    <w:rPr>
      <w:bdr w:val="none" w:sz="0" w:space="0" w:color="auto"/>
      <w:shd w:val="clear" w:color="auto" w:fill="D9D9D9"/>
    </w:rPr>
  </w:style>
  <w:style w:type="character" w:customStyle="1" w:styleId="bibmedline">
    <w:name w:val="bib_medline"/>
    <w:rsid w:val="00E02CF8"/>
  </w:style>
  <w:style w:type="character" w:customStyle="1" w:styleId="bibmonth">
    <w:name w:val="bib_month"/>
    <w:rsid w:val="00E02CF8"/>
    <w:rPr>
      <w:szCs w:val="24"/>
      <w:bdr w:val="none" w:sz="0" w:space="0" w:color="auto"/>
      <w:shd w:val="clear" w:color="auto" w:fill="CCFF33"/>
    </w:rPr>
  </w:style>
  <w:style w:type="character" w:customStyle="1" w:styleId="bibnumber">
    <w:name w:val="bib_number"/>
    <w:rsid w:val="00E02CF8"/>
    <w:rPr>
      <w:bdr w:val="none" w:sz="0" w:space="0" w:color="auto"/>
      <w:shd w:val="clear" w:color="auto" w:fill="CCCCFF"/>
    </w:rPr>
  </w:style>
  <w:style w:type="character" w:customStyle="1" w:styleId="biborganization">
    <w:name w:val="bib_organization"/>
    <w:rsid w:val="00E02CF8"/>
    <w:rPr>
      <w:bdr w:val="none" w:sz="0" w:space="0" w:color="auto"/>
      <w:shd w:val="clear" w:color="auto" w:fill="D2B6E2"/>
    </w:rPr>
  </w:style>
  <w:style w:type="character" w:customStyle="1" w:styleId="bibpagecount">
    <w:name w:val="bib_pagecount"/>
    <w:rsid w:val="00E02CF8"/>
    <w:rPr>
      <w:bdr w:val="none" w:sz="0" w:space="0" w:color="auto"/>
      <w:shd w:val="clear" w:color="auto" w:fill="00FF00"/>
    </w:rPr>
  </w:style>
  <w:style w:type="character" w:customStyle="1" w:styleId="bibpapernumber">
    <w:name w:val="bib_papernumber"/>
    <w:rsid w:val="00E02CF8"/>
    <w:rPr>
      <w:bdr w:val="none" w:sz="0" w:space="0" w:color="auto"/>
      <w:shd w:val="clear" w:color="auto" w:fill="FFFF66"/>
    </w:rPr>
  </w:style>
  <w:style w:type="character" w:customStyle="1" w:styleId="bibpatent">
    <w:name w:val="bib_patent"/>
    <w:rsid w:val="00E02CF8"/>
    <w:rPr>
      <w:bdr w:val="none" w:sz="0" w:space="0" w:color="auto"/>
      <w:shd w:val="clear" w:color="auto" w:fill="66FFCC"/>
    </w:rPr>
  </w:style>
  <w:style w:type="character" w:customStyle="1" w:styleId="bibpublisher">
    <w:name w:val="bib_publisher"/>
    <w:rsid w:val="00E02CF8"/>
    <w:rPr>
      <w:bdr w:val="none" w:sz="0" w:space="0" w:color="auto"/>
      <w:shd w:val="clear" w:color="auto" w:fill="FF99CC"/>
    </w:rPr>
  </w:style>
  <w:style w:type="character" w:customStyle="1" w:styleId="bibreportnum">
    <w:name w:val="bib_reportnum"/>
    <w:rsid w:val="00E02CF8"/>
    <w:rPr>
      <w:bdr w:val="none" w:sz="0" w:space="0" w:color="auto"/>
      <w:shd w:val="clear" w:color="auto" w:fill="CCCCFF"/>
    </w:rPr>
  </w:style>
  <w:style w:type="character" w:customStyle="1" w:styleId="bibschool">
    <w:name w:val="bib_school"/>
    <w:rsid w:val="00E02CF8"/>
    <w:rPr>
      <w:bdr w:val="none" w:sz="0" w:space="0" w:color="auto"/>
      <w:shd w:val="clear" w:color="auto" w:fill="FFCC66"/>
    </w:rPr>
  </w:style>
  <w:style w:type="character" w:customStyle="1" w:styleId="bibseries">
    <w:name w:val="bib_series"/>
    <w:rsid w:val="00E02CF8"/>
    <w:rPr>
      <w:shd w:val="clear" w:color="auto" w:fill="FFCC99"/>
    </w:rPr>
  </w:style>
  <w:style w:type="character" w:customStyle="1" w:styleId="bibseriesno">
    <w:name w:val="bib_seriesno"/>
    <w:rsid w:val="00E02CF8"/>
    <w:rPr>
      <w:shd w:val="clear" w:color="auto" w:fill="FFFF99"/>
    </w:rPr>
  </w:style>
  <w:style w:type="character" w:customStyle="1" w:styleId="bibsubnum">
    <w:name w:val="bib_subnum"/>
    <w:rsid w:val="00E02CF8"/>
  </w:style>
  <w:style w:type="character" w:customStyle="1" w:styleId="bibsuffix">
    <w:name w:val="bib_suffix"/>
    <w:rsid w:val="00E02CF8"/>
    <w:rPr>
      <w:bdr w:val="none" w:sz="0" w:space="0" w:color="auto"/>
      <w:shd w:val="clear" w:color="auto" w:fill="DCF4E4"/>
    </w:rPr>
  </w:style>
  <w:style w:type="character" w:customStyle="1" w:styleId="bibsuppl">
    <w:name w:val="bib_suppl"/>
    <w:rsid w:val="00E02CF8"/>
    <w:rPr>
      <w:bdr w:val="none" w:sz="0" w:space="0" w:color="auto"/>
      <w:shd w:val="clear" w:color="auto" w:fill="FFCC66"/>
    </w:rPr>
  </w:style>
  <w:style w:type="character" w:customStyle="1" w:styleId="bibsurname">
    <w:name w:val="bib_surname"/>
    <w:rsid w:val="00E02CF8"/>
    <w:rPr>
      <w:bdr w:val="none" w:sz="0" w:space="0" w:color="auto"/>
      <w:shd w:val="clear" w:color="auto" w:fill="CCFF99"/>
    </w:rPr>
  </w:style>
  <w:style w:type="character" w:customStyle="1" w:styleId="bibsurname-only">
    <w:name w:val="bib_surname-only"/>
    <w:rsid w:val="00E02CF8"/>
    <w:rPr>
      <w:rFonts w:ascii="Times New Roman" w:hAnsi="Times New Roman"/>
      <w:sz w:val="24"/>
      <w:szCs w:val="24"/>
      <w:bdr w:val="none" w:sz="0" w:space="0" w:color="auto"/>
      <w:shd w:val="clear" w:color="auto" w:fill="00FF00"/>
    </w:rPr>
  </w:style>
  <w:style w:type="character" w:customStyle="1" w:styleId="bibtitle">
    <w:name w:val="bib_title"/>
    <w:rsid w:val="00E02CF8"/>
    <w:rPr>
      <w:effect w:val="none"/>
      <w:bdr w:val="none" w:sz="0" w:space="0" w:color="auto"/>
      <w:shd w:val="clear" w:color="auto" w:fill="FF9966"/>
    </w:rPr>
  </w:style>
  <w:style w:type="character" w:customStyle="1" w:styleId="bibtrans">
    <w:name w:val="bib_trans"/>
    <w:rsid w:val="00E02CF8"/>
    <w:rPr>
      <w:shd w:val="clear" w:color="auto" w:fill="99CC00"/>
    </w:rPr>
  </w:style>
  <w:style w:type="character" w:customStyle="1" w:styleId="bibunpubl">
    <w:name w:val="bib_unpubl"/>
    <w:rsid w:val="00E02CF8"/>
  </w:style>
  <w:style w:type="character" w:customStyle="1" w:styleId="biburl">
    <w:name w:val="bib_url"/>
    <w:rsid w:val="00E02CF8"/>
    <w:rPr>
      <w:bdr w:val="none" w:sz="0" w:space="0" w:color="auto"/>
      <w:shd w:val="clear" w:color="auto" w:fill="CCFF66"/>
    </w:rPr>
  </w:style>
  <w:style w:type="character" w:customStyle="1" w:styleId="bibvolcount">
    <w:name w:val="bib_volcount"/>
    <w:rsid w:val="00E02CF8"/>
    <w:rPr>
      <w:bdr w:val="none" w:sz="0" w:space="0" w:color="auto"/>
      <w:shd w:val="clear" w:color="auto" w:fill="00FF00"/>
    </w:rPr>
  </w:style>
  <w:style w:type="character" w:customStyle="1" w:styleId="bibvolume">
    <w:name w:val="bib_volume"/>
    <w:rsid w:val="00E02CF8"/>
    <w:rPr>
      <w:bdr w:val="none" w:sz="0" w:space="0" w:color="auto"/>
      <w:shd w:val="clear" w:color="auto" w:fill="CCECFF"/>
    </w:rPr>
  </w:style>
  <w:style w:type="character" w:customStyle="1" w:styleId="bibyear">
    <w:name w:val="bib_year"/>
    <w:rsid w:val="00E02CF8"/>
    <w:rPr>
      <w:bdr w:val="none" w:sz="0" w:space="0" w:color="auto"/>
      <w:shd w:val="clear" w:color="auto" w:fill="FFCCFF"/>
    </w:rPr>
  </w:style>
  <w:style w:type="character" w:customStyle="1" w:styleId="citeapp">
    <w:name w:val="cite_app"/>
    <w:rsid w:val="00E02CF8"/>
    <w:rPr>
      <w:bdr w:val="none" w:sz="0" w:space="0" w:color="auto"/>
      <w:shd w:val="clear" w:color="auto" w:fill="CCFF33"/>
    </w:rPr>
  </w:style>
  <w:style w:type="character" w:customStyle="1" w:styleId="citebase">
    <w:name w:val="cite_base"/>
    <w:rsid w:val="00E02CF8"/>
  </w:style>
  <w:style w:type="character" w:customStyle="1" w:styleId="citebib">
    <w:name w:val="cite_bib"/>
    <w:rsid w:val="00E02CF8"/>
    <w:rPr>
      <w:bdr w:val="none" w:sz="0" w:space="0" w:color="auto"/>
      <w:shd w:val="clear" w:color="auto" w:fill="CCFFFF"/>
    </w:rPr>
  </w:style>
  <w:style w:type="character" w:customStyle="1" w:styleId="citebox">
    <w:name w:val="cite_box"/>
    <w:rsid w:val="00E02CF8"/>
    <w:rPr>
      <w:bdr w:val="none" w:sz="0" w:space="0" w:color="auto"/>
      <w:shd w:val="clear" w:color="auto" w:fill="9999FF"/>
    </w:rPr>
  </w:style>
  <w:style w:type="character" w:customStyle="1" w:styleId="citeen">
    <w:name w:val="cite_en"/>
    <w:rsid w:val="00E02CF8"/>
    <w:rPr>
      <w:bdr w:val="none" w:sz="0" w:space="0" w:color="auto"/>
      <w:shd w:val="clear" w:color="auto" w:fill="FFFF99"/>
      <w:vertAlign w:val="superscript"/>
    </w:rPr>
  </w:style>
  <w:style w:type="character" w:customStyle="1" w:styleId="citeeq">
    <w:name w:val="cite_eq"/>
    <w:rsid w:val="00E02CF8"/>
    <w:rPr>
      <w:bdr w:val="none" w:sz="0" w:space="0" w:color="auto"/>
      <w:shd w:val="clear" w:color="auto" w:fill="FFAE37"/>
    </w:rPr>
  </w:style>
  <w:style w:type="character" w:customStyle="1" w:styleId="citefig">
    <w:name w:val="cite_fig"/>
    <w:rsid w:val="00E02CF8"/>
    <w:rPr>
      <w:color w:val="auto"/>
      <w:bdr w:val="none" w:sz="0" w:space="0" w:color="auto"/>
      <w:shd w:val="clear" w:color="auto" w:fill="CCFFCC"/>
    </w:rPr>
  </w:style>
  <w:style w:type="character" w:customStyle="1" w:styleId="citefignomove">
    <w:name w:val="cite_fig_nomove"/>
    <w:rsid w:val="00E02CF8"/>
    <w:rPr>
      <w:rFonts w:ascii="Times New Roman" w:hAnsi="Times New Roman"/>
      <w:sz w:val="19"/>
      <w:bdr w:val="none" w:sz="0" w:space="0" w:color="auto"/>
      <w:shd w:val="clear" w:color="auto" w:fill="99CC00"/>
    </w:rPr>
  </w:style>
  <w:style w:type="character" w:customStyle="1" w:styleId="citefn">
    <w:name w:val="cite_fn"/>
    <w:rsid w:val="00E02CF8"/>
    <w:rPr>
      <w:color w:val="auto"/>
      <w:bdr w:val="none" w:sz="0" w:space="0" w:color="auto"/>
      <w:shd w:val="clear" w:color="auto" w:fill="FF99CC"/>
      <w:vertAlign w:val="baseline"/>
    </w:rPr>
  </w:style>
  <w:style w:type="character" w:customStyle="1" w:styleId="citesec">
    <w:name w:val="cite_sec"/>
    <w:rsid w:val="00E02CF8"/>
    <w:rPr>
      <w:bdr w:val="none" w:sz="0" w:space="0" w:color="auto"/>
      <w:shd w:val="clear" w:color="auto" w:fill="FFCCCC"/>
    </w:rPr>
  </w:style>
  <w:style w:type="character" w:customStyle="1" w:styleId="citesection">
    <w:name w:val="cite_section"/>
    <w:rsid w:val="00E02CF8"/>
    <w:rPr>
      <w:bdr w:val="none" w:sz="0" w:space="0" w:color="auto"/>
      <w:shd w:val="clear" w:color="auto" w:fill="FF7C80"/>
    </w:rPr>
  </w:style>
  <w:style w:type="character" w:customStyle="1" w:styleId="citetbl">
    <w:name w:val="cite_tbl"/>
    <w:rsid w:val="00E02CF8"/>
    <w:rPr>
      <w:color w:val="auto"/>
      <w:bdr w:val="none" w:sz="0" w:space="0" w:color="auto"/>
      <w:shd w:val="clear" w:color="auto" w:fill="FF9999"/>
    </w:rPr>
  </w:style>
  <w:style w:type="character" w:customStyle="1" w:styleId="citetblnomove">
    <w:name w:val="cite_tbl_nomove"/>
    <w:rsid w:val="00E02CF8"/>
    <w:rPr>
      <w:rFonts w:ascii="Times New Roman" w:hAnsi="Times New Roman"/>
      <w:sz w:val="19"/>
      <w:bdr w:val="none" w:sz="0" w:space="0" w:color="auto"/>
      <w:shd w:val="clear" w:color="auto" w:fill="9966FF"/>
    </w:rPr>
  </w:style>
  <w:style w:type="character" w:customStyle="1" w:styleId="citetfn">
    <w:name w:val="cite_tfn"/>
    <w:rsid w:val="00E02CF8"/>
    <w:rPr>
      <w:bdr w:val="none" w:sz="0" w:space="0" w:color="auto"/>
      <w:shd w:val="clear" w:color="auto" w:fill="FBBA79"/>
    </w:rPr>
  </w:style>
  <w:style w:type="character" w:customStyle="1" w:styleId="CODE">
    <w:name w:val="CODE"/>
    <w:uiPriority w:val="1"/>
    <w:semiHidden/>
    <w:rsid w:val="00E02CF8"/>
    <w:rPr>
      <w:rFonts w:ascii="Courier New" w:hAnsi="Courier New"/>
      <w:szCs w:val="24"/>
    </w:rPr>
  </w:style>
  <w:style w:type="paragraph" w:customStyle="1" w:styleId="ListTitle">
    <w:name w:val="List_Title"/>
    <w:basedOn w:val="BaseHeading"/>
    <w:rsid w:val="00E02CF8"/>
    <w:pPr>
      <w:ind w:left="360"/>
    </w:pPr>
    <w:rPr>
      <w:b/>
    </w:rPr>
  </w:style>
  <w:style w:type="paragraph" w:customStyle="1" w:styleId="NotesHead">
    <w:name w:val="NotesHead"/>
    <w:basedOn w:val="BaseHeading"/>
    <w:rsid w:val="00E02CF8"/>
    <w:pPr>
      <w:ind w:left="720" w:right="720"/>
    </w:pPr>
    <w:rPr>
      <w:b/>
      <w:sz w:val="26"/>
    </w:rPr>
  </w:style>
  <w:style w:type="paragraph" w:customStyle="1" w:styleId="NotesPara">
    <w:name w:val="NotesPara"/>
    <w:basedOn w:val="BaseText"/>
    <w:rsid w:val="00291ACE"/>
  </w:style>
  <w:style w:type="paragraph" w:customStyle="1" w:styleId="PullQuote">
    <w:name w:val="PullQuote"/>
    <w:basedOn w:val="BaseText"/>
    <w:rsid w:val="00E02CF8"/>
    <w:pPr>
      <w:ind w:left="720" w:right="720"/>
    </w:pPr>
  </w:style>
  <w:style w:type="paragraph" w:customStyle="1" w:styleId="TableLegend">
    <w:name w:val="TableLegend"/>
    <w:basedOn w:val="TableFootnote"/>
    <w:rsid w:val="00E02CF8"/>
  </w:style>
  <w:style w:type="paragraph" w:customStyle="1" w:styleId="TableRef">
    <w:name w:val="TableRef"/>
    <w:basedOn w:val="Reference"/>
    <w:rsid w:val="00981E0B"/>
    <w:pPr>
      <w:spacing w:line="240" w:lineRule="auto"/>
    </w:pPr>
    <w:rPr>
      <w:sz w:val="18"/>
    </w:rPr>
  </w:style>
  <w:style w:type="paragraph" w:customStyle="1" w:styleId="TableTitleContinued">
    <w:name w:val="TableTitleContinued"/>
    <w:basedOn w:val="BaseText"/>
    <w:rsid w:val="00981E0B"/>
    <w:pPr>
      <w:spacing w:line="240" w:lineRule="auto"/>
    </w:pPr>
    <w:rPr>
      <w:rFonts w:ascii="Arial Narrow" w:hAnsi="Arial Narrow"/>
      <w:sz w:val="19"/>
    </w:rPr>
  </w:style>
  <w:style w:type="paragraph" w:customStyle="1" w:styleId="TableTOCTitle">
    <w:name w:val="TableTOCTitle"/>
    <w:basedOn w:val="BaseText"/>
    <w:rsid w:val="00981E0B"/>
    <w:rPr>
      <w:rFonts w:ascii="Arial Narrow" w:hAnsi="Arial Narrow"/>
      <w:sz w:val="19"/>
    </w:rPr>
  </w:style>
  <w:style w:type="paragraph" w:styleId="TOC1">
    <w:name w:val="toc 1"/>
    <w:basedOn w:val="BaseText"/>
    <w:autoRedefine/>
    <w:uiPriority w:val="39"/>
    <w:rsid w:val="00D31C56"/>
    <w:pPr>
      <w:tabs>
        <w:tab w:val="right" w:leader="dot" w:pos="9350"/>
      </w:tabs>
      <w:spacing w:line="240" w:lineRule="auto"/>
    </w:pPr>
    <w:rPr>
      <w:rFonts w:ascii="Arial Narrow" w:hAnsi="Arial Narrow"/>
    </w:rPr>
  </w:style>
  <w:style w:type="paragraph" w:styleId="TOC2">
    <w:name w:val="toc 2"/>
    <w:basedOn w:val="TOC1"/>
    <w:autoRedefine/>
    <w:uiPriority w:val="39"/>
    <w:rsid w:val="00D31C56"/>
    <w:pPr>
      <w:ind w:left="216"/>
    </w:pPr>
  </w:style>
  <w:style w:type="paragraph" w:styleId="TOC3">
    <w:name w:val="toc 3"/>
    <w:basedOn w:val="TOC1"/>
    <w:autoRedefine/>
    <w:uiPriority w:val="39"/>
    <w:rsid w:val="00D31C56"/>
    <w:pPr>
      <w:ind w:left="446"/>
    </w:pPr>
  </w:style>
  <w:style w:type="paragraph" w:styleId="TOC4">
    <w:name w:val="toc 4"/>
    <w:basedOn w:val="TOC1"/>
    <w:autoRedefine/>
    <w:uiPriority w:val="39"/>
    <w:rsid w:val="00D31C56"/>
    <w:pPr>
      <w:ind w:left="662"/>
    </w:pPr>
  </w:style>
  <w:style w:type="paragraph" w:styleId="TOC5">
    <w:name w:val="toc 5"/>
    <w:basedOn w:val="TOC1"/>
    <w:autoRedefine/>
    <w:uiPriority w:val="39"/>
    <w:rsid w:val="00D31C56"/>
    <w:pPr>
      <w:ind w:left="878"/>
    </w:pPr>
  </w:style>
  <w:style w:type="paragraph" w:styleId="TOC6">
    <w:name w:val="toc 6"/>
    <w:basedOn w:val="TOC1"/>
    <w:autoRedefine/>
    <w:uiPriority w:val="39"/>
    <w:rsid w:val="00D31C56"/>
    <w:pPr>
      <w:ind w:left="1195"/>
    </w:pPr>
  </w:style>
  <w:style w:type="paragraph" w:styleId="TOC7">
    <w:name w:val="toc 7"/>
    <w:basedOn w:val="Normal"/>
    <w:next w:val="Normal"/>
    <w:autoRedefine/>
    <w:uiPriority w:val="39"/>
    <w:semiHidden/>
    <w:rsid w:val="00D31C56"/>
    <w:pPr>
      <w:spacing w:after="0" w:line="240" w:lineRule="auto"/>
      <w:ind w:left="1440"/>
    </w:pPr>
    <w:rPr>
      <w:rFonts w:ascii="Arial Narrow" w:hAnsi="Arial Narrow"/>
    </w:rPr>
  </w:style>
  <w:style w:type="paragraph" w:styleId="TOC8">
    <w:name w:val="toc 8"/>
    <w:basedOn w:val="Normal"/>
    <w:next w:val="Normal"/>
    <w:autoRedefine/>
    <w:uiPriority w:val="39"/>
    <w:semiHidden/>
    <w:rsid w:val="00D31C56"/>
    <w:pPr>
      <w:spacing w:after="100"/>
      <w:ind w:left="1680"/>
    </w:pPr>
  </w:style>
  <w:style w:type="paragraph" w:styleId="Header">
    <w:name w:val="header"/>
    <w:basedOn w:val="Normal"/>
    <w:link w:val="HeaderChar"/>
    <w:uiPriority w:val="99"/>
    <w:semiHidden/>
    <w:rsid w:val="001C428F"/>
    <w:pPr>
      <w:tabs>
        <w:tab w:val="center" w:pos="4680"/>
        <w:tab w:val="right" w:pos="9360"/>
      </w:tabs>
      <w:spacing w:after="0" w:line="240" w:lineRule="auto"/>
    </w:pPr>
  </w:style>
  <w:style w:type="character" w:customStyle="1" w:styleId="HeaderChar">
    <w:name w:val="Header Char"/>
    <w:basedOn w:val="DefaultParagraphFont"/>
    <w:link w:val="Header"/>
    <w:uiPriority w:val="99"/>
    <w:semiHidden/>
    <w:rsid w:val="0034363B"/>
    <w:rPr>
      <w:rFonts w:ascii="Times New Roman" w:eastAsia="Calibri" w:hAnsi="Times New Roman" w:cs="Times New Roman"/>
      <w:sz w:val="24"/>
    </w:rPr>
  </w:style>
  <w:style w:type="paragraph" w:styleId="Footer">
    <w:name w:val="footer"/>
    <w:basedOn w:val="Normal"/>
    <w:link w:val="FooterChar"/>
    <w:uiPriority w:val="99"/>
    <w:semiHidden/>
    <w:rsid w:val="001C428F"/>
    <w:pPr>
      <w:tabs>
        <w:tab w:val="center" w:pos="4680"/>
        <w:tab w:val="right" w:pos="9360"/>
      </w:tabs>
      <w:spacing w:after="0" w:line="240" w:lineRule="auto"/>
    </w:pPr>
  </w:style>
  <w:style w:type="character" w:customStyle="1" w:styleId="FooterChar">
    <w:name w:val="Footer Char"/>
    <w:basedOn w:val="DefaultParagraphFont"/>
    <w:link w:val="Footer"/>
    <w:uiPriority w:val="99"/>
    <w:semiHidden/>
    <w:rsid w:val="0034363B"/>
    <w:rPr>
      <w:rFonts w:ascii="Times New Roman" w:eastAsia="Calibri" w:hAnsi="Times New Roman" w:cs="Times New Roman"/>
      <w:sz w:val="24"/>
    </w:rPr>
  </w:style>
  <w:style w:type="paragraph" w:customStyle="1" w:styleId="footnotetext0">
    <w:name w:val="footnote text0"/>
    <w:basedOn w:val="Normal"/>
    <w:link w:val="FootnoteTextChar"/>
    <w:uiPriority w:val="99"/>
    <w:semiHidden/>
    <w:rsid w:val="001C428F"/>
    <w:pPr>
      <w:spacing w:after="0" w:line="240" w:lineRule="auto"/>
    </w:pPr>
    <w:rPr>
      <w:sz w:val="20"/>
      <w:szCs w:val="20"/>
    </w:rPr>
  </w:style>
  <w:style w:type="character" w:customStyle="1" w:styleId="FootnoteTextChar">
    <w:name w:val="Footnote Text Char"/>
    <w:basedOn w:val="DefaultParagraphFont"/>
    <w:link w:val="footnotetext0"/>
    <w:uiPriority w:val="99"/>
    <w:semiHidden/>
    <w:rsid w:val="0034363B"/>
    <w:rPr>
      <w:rFonts w:ascii="Times New Roman" w:eastAsia="Calibri" w:hAnsi="Times New Roman" w:cs="Times New Roman"/>
      <w:sz w:val="20"/>
      <w:szCs w:val="20"/>
    </w:rPr>
  </w:style>
  <w:style w:type="character" w:styleId="FootnoteReference">
    <w:name w:val="footnote reference"/>
    <w:basedOn w:val="DefaultParagraphFont"/>
    <w:uiPriority w:val="99"/>
    <w:semiHidden/>
    <w:rsid w:val="001C428F"/>
    <w:rPr>
      <w:vertAlign w:val="superscript"/>
    </w:rPr>
  </w:style>
  <w:style w:type="paragraph" w:customStyle="1" w:styleId="BibliographyItem">
    <w:name w:val="BibliographyItem"/>
    <w:basedOn w:val="Reference"/>
    <w:rsid w:val="00C955E0"/>
  </w:style>
  <w:style w:type="character" w:styleId="UnresolvedMention">
    <w:name w:val="Unresolved Mention"/>
    <w:basedOn w:val="DefaultParagraphFont"/>
    <w:uiPriority w:val="99"/>
    <w:semiHidden/>
    <w:rsid w:val="00165D44"/>
    <w:rPr>
      <w:color w:val="605E5C"/>
      <w:shd w:val="clear" w:color="auto" w:fill="E1DFDD"/>
    </w:rPr>
  </w:style>
  <w:style w:type="character" w:styleId="FollowedHyperlink">
    <w:name w:val="FollowedHyperlink"/>
    <w:basedOn w:val="DefaultParagraphFont"/>
    <w:uiPriority w:val="99"/>
    <w:semiHidden/>
    <w:rsid w:val="00302A26"/>
    <w:rPr>
      <w:color w:val="800080" w:themeColor="followedHyperlink"/>
      <w:u w:val="single"/>
    </w:rPr>
  </w:style>
  <w:style w:type="paragraph" w:customStyle="1" w:styleId="TOCHeading2">
    <w:name w:val="TOC_Heading2"/>
    <w:basedOn w:val="TOCHeading1"/>
    <w:rsid w:val="00BB3900"/>
    <w:rPr>
      <w:sz w:val="28"/>
    </w:rPr>
  </w:style>
  <w:style w:type="paragraph" w:styleId="TableofFigures">
    <w:name w:val="table of figures"/>
    <w:aliases w:val="TOCList"/>
    <w:basedOn w:val="BaseText"/>
    <w:next w:val="TOCHeading2"/>
    <w:uiPriority w:val="99"/>
    <w:rsid w:val="004E4661"/>
    <w:pPr>
      <w:spacing w:line="240" w:lineRule="auto"/>
    </w:pPr>
    <w:rPr>
      <w:rFonts w:ascii="Arial Narrow" w:hAnsi="Arial Narrow"/>
    </w:rPr>
  </w:style>
  <w:style w:type="character" w:styleId="PlaceholderText">
    <w:name w:val="Placeholder Text"/>
    <w:basedOn w:val="DefaultParagraphFont"/>
    <w:uiPriority w:val="99"/>
    <w:semiHidden/>
    <w:rsid w:val="009002F0"/>
    <w:rPr>
      <w:color w:val="808080"/>
    </w:rPr>
  </w:style>
  <w:style w:type="paragraph" w:styleId="BalloonText">
    <w:name w:val="Balloon Text"/>
    <w:basedOn w:val="BaseText"/>
    <w:link w:val="BalloonTextChar"/>
    <w:uiPriority w:val="99"/>
    <w:semiHidden/>
    <w:rsid w:val="0017565D"/>
    <w:pPr>
      <w:spacing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17565D"/>
    <w:rPr>
      <w:rFonts w:ascii="Segoe UI" w:eastAsia="Calibri" w:hAnsi="Segoe UI" w:cs="Segoe UI"/>
      <w:sz w:val="18"/>
      <w:szCs w:val="18"/>
    </w:rPr>
  </w:style>
  <w:style w:type="character" w:styleId="CommentReference">
    <w:name w:val="annotation reference"/>
    <w:basedOn w:val="DefaultParagraphFont"/>
    <w:uiPriority w:val="99"/>
    <w:semiHidden/>
    <w:rsid w:val="00F452DD"/>
    <w:rPr>
      <w:sz w:val="16"/>
      <w:szCs w:val="16"/>
    </w:rPr>
  </w:style>
  <w:style w:type="paragraph" w:styleId="CommentText">
    <w:name w:val="annotation text"/>
    <w:basedOn w:val="Normal"/>
    <w:link w:val="CommentTextChar"/>
    <w:uiPriority w:val="99"/>
    <w:semiHidden/>
    <w:rsid w:val="00F452DD"/>
    <w:pPr>
      <w:spacing w:line="240" w:lineRule="auto"/>
    </w:pPr>
    <w:rPr>
      <w:sz w:val="20"/>
      <w:szCs w:val="20"/>
    </w:rPr>
  </w:style>
  <w:style w:type="character" w:customStyle="1" w:styleId="CommentTextChar">
    <w:name w:val="Comment Text Char"/>
    <w:basedOn w:val="DefaultParagraphFont"/>
    <w:link w:val="CommentText"/>
    <w:uiPriority w:val="99"/>
    <w:semiHidden/>
    <w:rsid w:val="00F452DD"/>
    <w:rPr>
      <w:sz w:val="20"/>
      <w:szCs w:val="20"/>
    </w:rPr>
  </w:style>
  <w:style w:type="paragraph" w:styleId="CommentSubject">
    <w:name w:val="annotation subject"/>
    <w:basedOn w:val="CommentText"/>
    <w:next w:val="CommentText"/>
    <w:link w:val="CommentSubjectChar"/>
    <w:uiPriority w:val="99"/>
    <w:semiHidden/>
    <w:rsid w:val="00F452DD"/>
    <w:rPr>
      <w:b/>
      <w:bCs/>
    </w:rPr>
  </w:style>
  <w:style w:type="character" w:customStyle="1" w:styleId="CommentSubjectChar">
    <w:name w:val="Comment Subject Char"/>
    <w:basedOn w:val="CommentTextChar"/>
    <w:link w:val="CommentSubject"/>
    <w:uiPriority w:val="99"/>
    <w:semiHidden/>
    <w:rsid w:val="00F452DD"/>
    <w:rPr>
      <w:b/>
      <w:bCs/>
      <w:sz w:val="20"/>
      <w:szCs w:val="20"/>
    </w:rPr>
  </w:style>
  <w:style w:type="table" w:styleId="ListTable7Colorful">
    <w:name w:val="List Table 7 Colorful"/>
    <w:basedOn w:val="TableNormal"/>
    <w:uiPriority w:val="52"/>
    <w:rsid w:val="000F0539"/>
    <w:pPr>
      <w:spacing w:after="0" w:line="240" w:lineRule="auto"/>
    </w:pPr>
    <w:rPr>
      <w:color w:val="000000" w:themeColor="text1"/>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character" w:styleId="Mention">
    <w:name w:val="Mention"/>
    <w:basedOn w:val="DefaultParagraphFont"/>
    <w:uiPriority w:val="99"/>
    <w:unhideWhenUsed/>
    <w:rPr>
      <w:color w:val="2B579A"/>
      <w:shd w:val="clear" w:color="auto" w:fill="E6E6E6"/>
    </w:rPr>
  </w:style>
  <w:style w:type="paragraph" w:customStyle="1" w:styleId="DMUHeadnoteParagraph">
    <w:name w:val="DMU Headnote Paragraph"/>
    <w:basedOn w:val="BodyText"/>
    <w:rsid w:val="0081293E"/>
    <w:pPr>
      <w:spacing w:before="0"/>
    </w:pPr>
  </w:style>
  <w:style w:type="paragraph" w:customStyle="1" w:styleId="DMUBulletedItem">
    <w:name w:val="DMU Bulleted Item"/>
    <w:basedOn w:val="DMUParaCont"/>
    <w:rsid w:val="0081293E"/>
    <w:pPr>
      <w:numPr>
        <w:numId w:val="1"/>
      </w:numPr>
    </w:pPr>
  </w:style>
  <w:style w:type="paragraph" w:customStyle="1" w:styleId="DMUNoIndentParagraph">
    <w:name w:val="DMU NoIndent Paragraph"/>
    <w:basedOn w:val="DMUParaCont"/>
    <w:rsid w:val="0081293E"/>
  </w:style>
  <w:style w:type="paragraph" w:customStyle="1" w:styleId="DMUQuotation">
    <w:name w:val="DMU Quotation"/>
    <w:basedOn w:val="DMUNoIndentParagraph"/>
    <w:rsid w:val="0081293E"/>
    <w:pPr>
      <w:ind w:left="2520"/>
    </w:pPr>
  </w:style>
  <w:style w:type="paragraph" w:customStyle="1" w:styleId="BookTitle">
    <w:name w:val="BookTitle"/>
    <w:basedOn w:val="RptTitle"/>
    <w:rsid w:val="006A110F"/>
  </w:style>
  <w:style w:type="table" w:styleId="TableGrid">
    <w:name w:val="Table Grid"/>
    <w:basedOn w:val="TableNormal"/>
    <w:uiPriority w:val="59"/>
    <w:rsid w:val="0075304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ead10">
    <w:name w:val="head1"/>
    <w:basedOn w:val="Normal"/>
    <w:rsid w:val="00A34EB0"/>
    <w:pPr>
      <w:spacing w:before="100" w:beforeAutospacing="1" w:after="100" w:afterAutospacing="1" w:line="240" w:lineRule="auto"/>
    </w:pPr>
    <w:rPr>
      <w:rFonts w:eastAsiaTheme="minorEastAsia" w:cs="Times New Roman"/>
    </w:rPr>
  </w:style>
  <w:style w:type="paragraph" w:customStyle="1" w:styleId="reference0">
    <w:name w:val="reference"/>
    <w:basedOn w:val="Normal"/>
    <w:rsid w:val="00282C74"/>
    <w:pPr>
      <w:spacing w:before="100" w:beforeAutospacing="1" w:after="100" w:afterAutospacing="1" w:line="240" w:lineRule="auto"/>
    </w:pPr>
    <w:rPr>
      <w:rFonts w:eastAsiaTheme="minorEastAsia" w:cs="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55580150">
      <w:bodyDiv w:val="1"/>
      <w:marLeft w:val="0"/>
      <w:marRight w:val="0"/>
      <w:marTop w:val="0"/>
      <w:marBottom w:val="0"/>
      <w:divBdr>
        <w:top w:val="none" w:sz="0" w:space="0" w:color="auto"/>
        <w:left w:val="none" w:sz="0" w:space="0" w:color="auto"/>
        <w:bottom w:val="none" w:sz="0" w:space="0" w:color="auto"/>
        <w:right w:val="none" w:sz="0" w:space="0" w:color="auto"/>
      </w:divBdr>
    </w:div>
    <w:div w:id="885264771">
      <w:bodyDiv w:val="1"/>
      <w:marLeft w:val="0"/>
      <w:marRight w:val="0"/>
      <w:marTop w:val="0"/>
      <w:marBottom w:val="0"/>
      <w:divBdr>
        <w:top w:val="none" w:sz="0" w:space="0" w:color="auto"/>
        <w:left w:val="none" w:sz="0" w:space="0" w:color="auto"/>
        <w:bottom w:val="none" w:sz="0" w:space="0" w:color="auto"/>
        <w:right w:val="none" w:sz="0" w:space="0" w:color="auto"/>
      </w:divBdr>
    </w:div>
    <w:div w:id="1733112444">
      <w:bodyDiv w:val="1"/>
      <w:marLeft w:val="0"/>
      <w:marRight w:val="0"/>
      <w:marTop w:val="0"/>
      <w:marBottom w:val="0"/>
      <w:divBdr>
        <w:top w:val="none" w:sz="0" w:space="0" w:color="auto"/>
        <w:left w:val="none" w:sz="0" w:space="0" w:color="auto"/>
        <w:bottom w:val="none" w:sz="0" w:space="0" w:color="auto"/>
        <w:right w:val="none" w:sz="0" w:space="0" w:color="auto"/>
      </w:divBdr>
    </w:div>
    <w:div w:id="1774983112">
      <w:bodyDiv w:val="1"/>
      <w:marLeft w:val="0"/>
      <w:marRight w:val="0"/>
      <w:marTop w:val="0"/>
      <w:marBottom w:val="0"/>
      <w:divBdr>
        <w:top w:val="none" w:sz="0" w:space="0" w:color="auto"/>
        <w:left w:val="none" w:sz="0" w:space="0" w:color="auto"/>
        <w:bottom w:val="none" w:sz="0" w:space="0" w:color="auto"/>
        <w:right w:val="none" w:sz="0" w:space="0" w:color="auto"/>
      </w:divBdr>
    </w:div>
    <w:div w:id="19193667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jpg"/><Relationship Id="rId18" Type="http://schemas.openxmlformats.org/officeDocument/2006/relationships/chart" Target="charts/chart5.xml"/><Relationship Id="rId26" Type="http://schemas.openxmlformats.org/officeDocument/2006/relationships/image" Target="media/image10.jpg"/><Relationship Id="rId39" Type="http://schemas.openxmlformats.org/officeDocument/2006/relationships/chart" Target="charts/chart17.xml"/><Relationship Id="rId21" Type="http://schemas.openxmlformats.org/officeDocument/2006/relationships/image" Target="media/image5.png"/><Relationship Id="rId34" Type="http://schemas.openxmlformats.org/officeDocument/2006/relationships/image" Target="media/image12.jpg"/><Relationship Id="rId42" Type="http://schemas.openxmlformats.org/officeDocument/2006/relationships/image" Target="media/image14.jpg"/><Relationship Id="rId47" Type="http://schemas.openxmlformats.org/officeDocument/2006/relationships/chart" Target="charts/chart23.xml"/><Relationship Id="rId50" Type="http://schemas.openxmlformats.org/officeDocument/2006/relationships/hyperlink" Target="https://www.adb.org/sites/default/files/institutional-document/32120/charter.pdf" TargetMode="External"/><Relationship Id="rId55" Type="http://schemas.openxmlformats.org/officeDocument/2006/relationships/hyperlink" Target="https://doi.org/10.3133/wri904074" TargetMode="Externa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chart" Target="charts/chart3.xml"/><Relationship Id="rId29" Type="http://schemas.openxmlformats.org/officeDocument/2006/relationships/chart" Target="charts/chart9.xml"/><Relationship Id="rId11" Type="http://schemas.openxmlformats.org/officeDocument/2006/relationships/image" Target="media/image1.jpg"/><Relationship Id="rId24" Type="http://schemas.openxmlformats.org/officeDocument/2006/relationships/image" Target="media/image8.png"/><Relationship Id="rId32" Type="http://schemas.openxmlformats.org/officeDocument/2006/relationships/chart" Target="charts/chart12.xml"/><Relationship Id="rId37" Type="http://schemas.openxmlformats.org/officeDocument/2006/relationships/chart" Target="charts/chart15.xml"/><Relationship Id="rId40" Type="http://schemas.openxmlformats.org/officeDocument/2006/relationships/chart" Target="charts/chart18.xml"/><Relationship Id="rId45" Type="http://schemas.openxmlformats.org/officeDocument/2006/relationships/chart" Target="charts/chart21.xml"/><Relationship Id="rId53" Type="http://schemas.openxmlformats.org/officeDocument/2006/relationships/hyperlink" Target="https://CRAN.R-project.org/package=terra" TargetMode="External"/><Relationship Id="rId58" Type="http://schemas.openxmlformats.org/officeDocument/2006/relationships/hyperlink" Target="https://doi.org/10.3133/wri834161" TargetMode="External"/><Relationship Id="rId5" Type="http://schemas.openxmlformats.org/officeDocument/2006/relationships/numbering" Target="numbering.xml"/><Relationship Id="rId61" Type="http://schemas.openxmlformats.org/officeDocument/2006/relationships/theme" Target="theme/theme1.xml"/><Relationship Id="rId19" Type="http://schemas.openxmlformats.org/officeDocument/2006/relationships/chart" Target="charts/chart6.xml"/><Relationship Id="rId14" Type="http://schemas.openxmlformats.org/officeDocument/2006/relationships/chart" Target="charts/chart1.xml"/><Relationship Id="rId22" Type="http://schemas.openxmlformats.org/officeDocument/2006/relationships/image" Target="media/image6.png"/><Relationship Id="rId27" Type="http://schemas.openxmlformats.org/officeDocument/2006/relationships/chart" Target="charts/chart7.xml"/><Relationship Id="rId30" Type="http://schemas.openxmlformats.org/officeDocument/2006/relationships/chart" Target="charts/chart10.xml"/><Relationship Id="rId35" Type="http://schemas.openxmlformats.org/officeDocument/2006/relationships/chart" Target="charts/chart13.xml"/><Relationship Id="rId43" Type="http://schemas.openxmlformats.org/officeDocument/2006/relationships/chart" Target="charts/chart19.xml"/><Relationship Id="rId48" Type="http://schemas.openxmlformats.org/officeDocument/2006/relationships/chart" Target="charts/chart24.xml"/><Relationship Id="rId56" Type="http://schemas.openxmlformats.org/officeDocument/2006/relationships/hyperlink" Target="http://pacioos.org/metadata/usgs_dem_10m_kosrae.html" TargetMode="External"/><Relationship Id="rId8" Type="http://schemas.openxmlformats.org/officeDocument/2006/relationships/webSettings" Target="webSettings.xml"/><Relationship Id="rId51" Type="http://schemas.openxmlformats.org/officeDocument/2006/relationships/hyperlink" Target="https://en.climate-data.org/oceania/federated-states-of-micronesia/chuuk-2649/" TargetMode="External"/><Relationship Id="rId3" Type="http://schemas.openxmlformats.org/officeDocument/2006/relationships/customXml" Target="../customXml/item3.xml"/><Relationship Id="rId12" Type="http://schemas.openxmlformats.org/officeDocument/2006/relationships/image" Target="media/image2.jpg"/><Relationship Id="rId17" Type="http://schemas.openxmlformats.org/officeDocument/2006/relationships/chart" Target="charts/chart4.xml"/><Relationship Id="rId25" Type="http://schemas.openxmlformats.org/officeDocument/2006/relationships/image" Target="media/image9.png"/><Relationship Id="rId33" Type="http://schemas.openxmlformats.org/officeDocument/2006/relationships/image" Target="media/image11.png"/><Relationship Id="rId38" Type="http://schemas.openxmlformats.org/officeDocument/2006/relationships/chart" Target="charts/chart16.xml"/><Relationship Id="rId46" Type="http://schemas.openxmlformats.org/officeDocument/2006/relationships/chart" Target="charts/chart22.xml"/><Relationship Id="rId59" Type="http://schemas.openxmlformats.org/officeDocument/2006/relationships/footer" Target="footer1.xml"/><Relationship Id="rId20" Type="http://schemas.openxmlformats.org/officeDocument/2006/relationships/image" Target="media/image4.png"/><Relationship Id="rId41" Type="http://schemas.openxmlformats.org/officeDocument/2006/relationships/image" Target="media/image13.png"/><Relationship Id="rId54" Type="http://schemas.openxmlformats.org/officeDocument/2006/relationships/hyperlink" Target="https://doi.org/10.5067/GPM/IMERGDF/DAY/07" TargetMode="Externa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chart" Target="charts/chart2.xml"/><Relationship Id="rId23" Type="http://schemas.openxmlformats.org/officeDocument/2006/relationships/image" Target="media/image7.png"/><Relationship Id="rId28" Type="http://schemas.openxmlformats.org/officeDocument/2006/relationships/chart" Target="charts/chart8.xml"/><Relationship Id="rId36" Type="http://schemas.openxmlformats.org/officeDocument/2006/relationships/chart" Target="charts/chart14.xml"/><Relationship Id="rId49" Type="http://schemas.openxmlformats.org/officeDocument/2006/relationships/image" Target="media/image15.png"/><Relationship Id="rId57" Type="http://schemas.openxmlformats.org/officeDocument/2006/relationships/hyperlink" Target="https://www.usgs.gov/news/saltwater-contamination-freshwater-resources-could-make-many-atoll-islands-uninhabitable" TargetMode="External"/><Relationship Id="rId10" Type="http://schemas.openxmlformats.org/officeDocument/2006/relationships/endnotes" Target="endnotes.xml"/><Relationship Id="rId31" Type="http://schemas.openxmlformats.org/officeDocument/2006/relationships/chart" Target="charts/chart11.xml"/><Relationship Id="rId44" Type="http://schemas.openxmlformats.org/officeDocument/2006/relationships/chart" Target="charts/chart20.xml"/><Relationship Id="rId52" Type="http://schemas.openxmlformats.org/officeDocument/2006/relationships/hyperlink" Target="https://www.usgs.gov/publications/evapotranspiration-terminology-and-definitions" TargetMode="External"/><Relationship Id="rId60"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rjdavis\Downloads\manuscript_template_v6.0.dotx" TargetMode="External"/></Relationships>
</file>

<file path=word/charts/_rels/chart1.xml.rels><?xml version="1.0" encoding="UTF-8" standalone="yes"?>
<Relationships xmlns="http://schemas.openxmlformats.org/package/2006/relationships"><Relationship Id="rId3" Type="http://schemas.openxmlformats.org/officeDocument/2006/relationships/oleObject" Target="https://doimspp.sharepoint.com/sites/ETRS/Shared%20Documents/General/Pacific%20Islands%20Project%20ADB/SI_report/data%20release/Volume2.xlsx" TargetMode="External"/><Relationship Id="rId2" Type="http://schemas.microsoft.com/office/2011/relationships/chartColorStyle" Target="colors1.xml"/><Relationship Id="rId1" Type="http://schemas.microsoft.com/office/2011/relationships/chartStyle" Target="style1.xml"/></Relationships>
</file>

<file path=word/charts/_rels/chart10.xml.rels><?xml version="1.0" encoding="UTF-8" standalone="yes"?>
<Relationships xmlns="http://schemas.openxmlformats.org/package/2006/relationships"><Relationship Id="rId3" Type="http://schemas.openxmlformats.org/officeDocument/2006/relationships/oleObject" Target="https://doimspp.sharepoint.com/sites/ETRS/Shared%20Documents/General/Pacific%20Islands%20Project%20ADB/SI_report/data%20release/Volume2.xlsx" TargetMode="External"/><Relationship Id="rId2" Type="http://schemas.microsoft.com/office/2011/relationships/chartColorStyle" Target="colors10.xml"/><Relationship Id="rId1" Type="http://schemas.microsoft.com/office/2011/relationships/chartStyle" Target="style10.xml"/></Relationships>
</file>

<file path=word/charts/_rels/chart11.xml.rels><?xml version="1.0" encoding="UTF-8" standalone="yes"?>
<Relationships xmlns="http://schemas.openxmlformats.org/package/2006/relationships"><Relationship Id="rId3" Type="http://schemas.openxmlformats.org/officeDocument/2006/relationships/oleObject" Target="https://doimspp.sharepoint.com/sites/ETRS/Shared%20Documents/General/Pacific%20Islands%20Project%20ADB/SI_report/data%20release/Volume2.xlsx" TargetMode="External"/><Relationship Id="rId2" Type="http://schemas.microsoft.com/office/2011/relationships/chartColorStyle" Target="colors11.xml"/><Relationship Id="rId1" Type="http://schemas.microsoft.com/office/2011/relationships/chartStyle" Target="style11.xml"/></Relationships>
</file>

<file path=word/charts/_rels/chart12.xml.rels><?xml version="1.0" encoding="UTF-8" standalone="yes"?>
<Relationships xmlns="http://schemas.openxmlformats.org/package/2006/relationships"><Relationship Id="rId3" Type="http://schemas.openxmlformats.org/officeDocument/2006/relationships/oleObject" Target="https://doimspp.sharepoint.com/sites/ETRS/Shared%20Documents/General/Pacific%20Islands%20Project%20ADB/SI_report/data%20release/Volume2.xlsx" TargetMode="External"/><Relationship Id="rId2" Type="http://schemas.microsoft.com/office/2011/relationships/chartColorStyle" Target="colors12.xml"/><Relationship Id="rId1" Type="http://schemas.microsoft.com/office/2011/relationships/chartStyle" Target="style12.xml"/></Relationships>
</file>

<file path=word/charts/_rels/chart13.xml.rels><?xml version="1.0" encoding="UTF-8" standalone="yes"?>
<Relationships xmlns="http://schemas.openxmlformats.org/package/2006/relationships"><Relationship Id="rId3" Type="http://schemas.openxmlformats.org/officeDocument/2006/relationships/oleObject" Target="https://doimspp.sharepoint.com/sites/ETRS/Shared%20Documents/General/Pacific%20Islands%20Project%20ADB/SI_report/data%20release/Volume2.xlsx" TargetMode="External"/><Relationship Id="rId2" Type="http://schemas.microsoft.com/office/2011/relationships/chartColorStyle" Target="colors13.xml"/><Relationship Id="rId1" Type="http://schemas.microsoft.com/office/2011/relationships/chartStyle" Target="style13.xml"/></Relationships>
</file>

<file path=word/charts/_rels/chart14.xml.rels><?xml version="1.0" encoding="UTF-8" standalone="yes"?>
<Relationships xmlns="http://schemas.openxmlformats.org/package/2006/relationships"><Relationship Id="rId3" Type="http://schemas.openxmlformats.org/officeDocument/2006/relationships/oleObject" Target="https://doimspp.sharepoint.com/sites/ETRS/Shared%20Documents/General/Pacific%20Islands%20Project%20ADB/SI_report/data%20release/Volume2.xlsx" TargetMode="External"/><Relationship Id="rId2" Type="http://schemas.microsoft.com/office/2011/relationships/chartColorStyle" Target="colors14.xml"/><Relationship Id="rId1" Type="http://schemas.microsoft.com/office/2011/relationships/chartStyle" Target="style14.xml"/></Relationships>
</file>

<file path=word/charts/_rels/chart15.xml.rels><?xml version="1.0" encoding="UTF-8" standalone="yes"?>
<Relationships xmlns="http://schemas.openxmlformats.org/package/2006/relationships"><Relationship Id="rId3" Type="http://schemas.openxmlformats.org/officeDocument/2006/relationships/oleObject" Target="https://doimspp.sharepoint.com/sites/ETRS/Shared%20Documents/General/Pacific%20Islands%20Project%20ADB/SI_report/data%20release/Volume2.xlsx" TargetMode="External"/><Relationship Id="rId2" Type="http://schemas.microsoft.com/office/2011/relationships/chartColorStyle" Target="colors15.xml"/><Relationship Id="rId1" Type="http://schemas.microsoft.com/office/2011/relationships/chartStyle" Target="style15.xml"/></Relationships>
</file>

<file path=word/charts/_rels/chart16.xml.rels><?xml version="1.0" encoding="UTF-8" standalone="yes"?>
<Relationships xmlns="http://schemas.openxmlformats.org/package/2006/relationships"><Relationship Id="rId3" Type="http://schemas.openxmlformats.org/officeDocument/2006/relationships/oleObject" Target="https://doimspp.sharepoint.com/sites/ETRS/Shared%20Documents/General/Pacific%20Islands%20Project%20ADB/SI_report/data%20release/Volume2.xlsx" TargetMode="External"/><Relationship Id="rId2" Type="http://schemas.microsoft.com/office/2011/relationships/chartColorStyle" Target="colors16.xml"/><Relationship Id="rId1" Type="http://schemas.microsoft.com/office/2011/relationships/chartStyle" Target="style16.xml"/></Relationships>
</file>

<file path=word/charts/_rels/chart17.xml.rels><?xml version="1.0" encoding="UTF-8" standalone="yes"?>
<Relationships xmlns="http://schemas.openxmlformats.org/package/2006/relationships"><Relationship Id="rId3" Type="http://schemas.openxmlformats.org/officeDocument/2006/relationships/oleObject" Target="https://doimspp.sharepoint.com/sites/ETRS/Shared%20Documents/General/Pacific%20Islands%20Project%20ADB/SI_report/data%20release/Volume2.xlsx" TargetMode="External"/><Relationship Id="rId2" Type="http://schemas.microsoft.com/office/2011/relationships/chartColorStyle" Target="colors17.xml"/><Relationship Id="rId1" Type="http://schemas.microsoft.com/office/2011/relationships/chartStyle" Target="style17.xml"/></Relationships>
</file>

<file path=word/charts/_rels/chart18.xml.rels><?xml version="1.0" encoding="UTF-8" standalone="yes"?>
<Relationships xmlns="http://schemas.openxmlformats.org/package/2006/relationships"><Relationship Id="rId3" Type="http://schemas.openxmlformats.org/officeDocument/2006/relationships/oleObject" Target="https://doimspp.sharepoint.com/sites/ETRS/Shared%20Documents/General/Pacific%20Islands%20Project%20ADB/SI_report/data%20release/Volume2.xlsx" TargetMode="External"/><Relationship Id="rId2" Type="http://schemas.microsoft.com/office/2011/relationships/chartColorStyle" Target="colors18.xml"/><Relationship Id="rId1" Type="http://schemas.microsoft.com/office/2011/relationships/chartStyle" Target="style18.xml"/></Relationships>
</file>

<file path=word/charts/_rels/chart19.xml.rels><?xml version="1.0" encoding="UTF-8" standalone="yes"?>
<Relationships xmlns="http://schemas.openxmlformats.org/package/2006/relationships"><Relationship Id="rId3" Type="http://schemas.openxmlformats.org/officeDocument/2006/relationships/oleObject" Target="https://doimspp.sharepoint.com/sites/ETRS/Shared%20Documents/General/Pacific%20Islands%20Project%20ADB/SI_report/data%20release/Volume2.xlsx" TargetMode="External"/><Relationship Id="rId2" Type="http://schemas.microsoft.com/office/2011/relationships/chartColorStyle" Target="colors19.xml"/><Relationship Id="rId1" Type="http://schemas.microsoft.com/office/2011/relationships/chartStyle" Target="style19.xml"/></Relationships>
</file>

<file path=word/charts/_rels/chart2.xml.rels><?xml version="1.0" encoding="UTF-8" standalone="yes"?>
<Relationships xmlns="http://schemas.openxmlformats.org/package/2006/relationships"><Relationship Id="rId3" Type="http://schemas.openxmlformats.org/officeDocument/2006/relationships/oleObject" Target="https://doimspp.sharepoint.com/sites/ETRS/Shared%20Documents/General/Pacific%20Islands%20Project%20ADB/SI_report/data%20release/Volume2.xlsx" TargetMode="External"/><Relationship Id="rId2" Type="http://schemas.microsoft.com/office/2011/relationships/chartColorStyle" Target="colors2.xml"/><Relationship Id="rId1" Type="http://schemas.microsoft.com/office/2011/relationships/chartStyle" Target="style2.xml"/></Relationships>
</file>

<file path=word/charts/_rels/chart20.xml.rels><?xml version="1.0" encoding="UTF-8" standalone="yes"?>
<Relationships xmlns="http://schemas.openxmlformats.org/package/2006/relationships"><Relationship Id="rId3" Type="http://schemas.openxmlformats.org/officeDocument/2006/relationships/oleObject" Target="https://doimspp.sharepoint.com/sites/ETRS/Shared%20Documents/General/Pacific%20Islands%20Project%20ADB/SI_report/data%20release/Volume2.xlsx" TargetMode="External"/><Relationship Id="rId2" Type="http://schemas.microsoft.com/office/2011/relationships/chartColorStyle" Target="colors20.xml"/><Relationship Id="rId1" Type="http://schemas.microsoft.com/office/2011/relationships/chartStyle" Target="style20.xml"/></Relationships>
</file>

<file path=word/charts/_rels/chart21.xml.rels><?xml version="1.0" encoding="UTF-8" standalone="yes"?>
<Relationships xmlns="http://schemas.openxmlformats.org/package/2006/relationships"><Relationship Id="rId3" Type="http://schemas.openxmlformats.org/officeDocument/2006/relationships/oleObject" Target="https://doimspp.sharepoint.com/sites/ETRS/Shared%20Documents/General/Pacific%20Islands%20Project%20ADB/SI_report/data%20release/Volume2.xlsx" TargetMode="External"/><Relationship Id="rId2" Type="http://schemas.microsoft.com/office/2011/relationships/chartColorStyle" Target="colors21.xml"/><Relationship Id="rId1" Type="http://schemas.microsoft.com/office/2011/relationships/chartStyle" Target="style21.xml"/></Relationships>
</file>

<file path=word/charts/_rels/chart22.xml.rels><?xml version="1.0" encoding="UTF-8" standalone="yes"?>
<Relationships xmlns="http://schemas.openxmlformats.org/package/2006/relationships"><Relationship Id="rId3" Type="http://schemas.openxmlformats.org/officeDocument/2006/relationships/oleObject" Target="https://doimspp.sharepoint.com/sites/ETRS/Shared%20Documents/General/Pacific%20Islands%20Project%20ADB/SI_report/data%20release/Volume2.xlsx" TargetMode="External"/><Relationship Id="rId2" Type="http://schemas.microsoft.com/office/2011/relationships/chartColorStyle" Target="colors22.xml"/><Relationship Id="rId1" Type="http://schemas.microsoft.com/office/2011/relationships/chartStyle" Target="style22.xml"/></Relationships>
</file>

<file path=word/charts/_rels/chart23.xml.rels><?xml version="1.0" encoding="UTF-8" standalone="yes"?>
<Relationships xmlns="http://schemas.openxmlformats.org/package/2006/relationships"><Relationship Id="rId3" Type="http://schemas.openxmlformats.org/officeDocument/2006/relationships/oleObject" Target="https://doimspp.sharepoint.com/sites/ETRS/Shared%20Documents/General/Pacific%20Islands%20Project%20ADB/SI_report/data%20release/Volume2.xlsx" TargetMode="External"/><Relationship Id="rId2" Type="http://schemas.microsoft.com/office/2011/relationships/chartColorStyle" Target="colors23.xml"/><Relationship Id="rId1" Type="http://schemas.microsoft.com/office/2011/relationships/chartStyle" Target="style23.xml"/></Relationships>
</file>

<file path=word/charts/_rels/chart24.xml.rels><?xml version="1.0" encoding="UTF-8" standalone="yes"?>
<Relationships xmlns="http://schemas.openxmlformats.org/package/2006/relationships"><Relationship Id="rId3" Type="http://schemas.openxmlformats.org/officeDocument/2006/relationships/oleObject" Target="https://doimspp.sharepoint.com/sites/ETRS/Shared%20Documents/General/Pacific%20Islands%20Project%20ADB/SI_report/data%20release/Volume2.xlsx" TargetMode="External"/><Relationship Id="rId2" Type="http://schemas.microsoft.com/office/2011/relationships/chartColorStyle" Target="colors24.xml"/><Relationship Id="rId1" Type="http://schemas.microsoft.com/office/2011/relationships/chartStyle" Target="style24.xml"/></Relationships>
</file>

<file path=word/charts/_rels/chart3.xml.rels><?xml version="1.0" encoding="UTF-8" standalone="yes"?>
<Relationships xmlns="http://schemas.openxmlformats.org/package/2006/relationships"><Relationship Id="rId3" Type="http://schemas.openxmlformats.org/officeDocument/2006/relationships/oleObject" Target="https://doimspp.sharepoint.com/sites/ETRS/Shared%20Documents/General/Pacific%20Islands%20Project%20ADB/SI_report/data%20release/Volume2.xlsx" TargetMode="External"/><Relationship Id="rId2" Type="http://schemas.microsoft.com/office/2011/relationships/chartColorStyle" Target="colors3.xml"/><Relationship Id="rId1" Type="http://schemas.microsoft.com/office/2011/relationships/chartStyle" Target="style3.xml"/></Relationships>
</file>

<file path=word/charts/_rels/chart4.xml.rels><?xml version="1.0" encoding="UTF-8" standalone="yes"?>
<Relationships xmlns="http://schemas.openxmlformats.org/package/2006/relationships"><Relationship Id="rId3" Type="http://schemas.openxmlformats.org/officeDocument/2006/relationships/oleObject" Target="https://doimspp.sharepoint.com/sites/ETRS/Shared%20Documents/General/Pacific%20Islands%20Project%20ADB/SI_report/data%20release/Volume2.xlsx" TargetMode="External"/><Relationship Id="rId2" Type="http://schemas.microsoft.com/office/2011/relationships/chartColorStyle" Target="colors4.xml"/><Relationship Id="rId1" Type="http://schemas.microsoft.com/office/2011/relationships/chartStyle" Target="style4.xml"/></Relationships>
</file>

<file path=word/charts/_rels/chart5.xml.rels><?xml version="1.0" encoding="UTF-8" standalone="yes"?>
<Relationships xmlns="http://schemas.openxmlformats.org/package/2006/relationships"><Relationship Id="rId3" Type="http://schemas.openxmlformats.org/officeDocument/2006/relationships/oleObject" Target="https://doimspp.sharepoint.com/sites/ETRS/Shared%20Documents/General/Pacific%20Islands%20Project%20ADB/SI_report/data%20release/Volume2.xlsx" TargetMode="External"/><Relationship Id="rId2" Type="http://schemas.microsoft.com/office/2011/relationships/chartColorStyle" Target="colors5.xml"/><Relationship Id="rId1" Type="http://schemas.microsoft.com/office/2011/relationships/chartStyle" Target="style5.xml"/></Relationships>
</file>

<file path=word/charts/_rels/chart6.xml.rels><?xml version="1.0" encoding="UTF-8" standalone="yes"?>
<Relationships xmlns="http://schemas.openxmlformats.org/package/2006/relationships"><Relationship Id="rId3" Type="http://schemas.openxmlformats.org/officeDocument/2006/relationships/oleObject" Target="https://doimspp.sharepoint.com/sites/ETRS/Shared%20Documents/General/Pacific%20Islands%20Project%20ADB/SI_report/data%20release/Volume2.xlsx" TargetMode="External"/><Relationship Id="rId2" Type="http://schemas.microsoft.com/office/2011/relationships/chartColorStyle" Target="colors6.xml"/><Relationship Id="rId1" Type="http://schemas.microsoft.com/office/2011/relationships/chartStyle" Target="style6.xml"/></Relationships>
</file>

<file path=word/charts/_rels/chart7.xml.rels><?xml version="1.0" encoding="UTF-8" standalone="yes"?>
<Relationships xmlns="http://schemas.openxmlformats.org/package/2006/relationships"><Relationship Id="rId3" Type="http://schemas.openxmlformats.org/officeDocument/2006/relationships/oleObject" Target="https://doimspp.sharepoint.com/sites/ETRS/Shared%20Documents/General/Pacific%20Islands%20Project%20ADB/SI_report/data%20release/Volume2.xlsx" TargetMode="External"/><Relationship Id="rId2" Type="http://schemas.microsoft.com/office/2011/relationships/chartColorStyle" Target="colors7.xml"/><Relationship Id="rId1" Type="http://schemas.microsoft.com/office/2011/relationships/chartStyle" Target="style7.xml"/></Relationships>
</file>

<file path=word/charts/_rels/chart8.xml.rels><?xml version="1.0" encoding="UTF-8" standalone="yes"?>
<Relationships xmlns="http://schemas.openxmlformats.org/package/2006/relationships"><Relationship Id="rId3" Type="http://schemas.openxmlformats.org/officeDocument/2006/relationships/oleObject" Target="https://doimspp.sharepoint.com/sites/ETRS/Shared%20Documents/General/Pacific%20Islands%20Project%20ADB/SI_report/data%20release/Volume2.xlsx" TargetMode="External"/><Relationship Id="rId2" Type="http://schemas.microsoft.com/office/2011/relationships/chartColorStyle" Target="colors8.xml"/><Relationship Id="rId1" Type="http://schemas.microsoft.com/office/2011/relationships/chartStyle" Target="style8.xml"/></Relationships>
</file>

<file path=word/charts/_rels/chart9.xml.rels><?xml version="1.0" encoding="UTF-8" standalone="yes"?>
<Relationships xmlns="http://schemas.openxmlformats.org/package/2006/relationships"><Relationship Id="rId3" Type="http://schemas.openxmlformats.org/officeDocument/2006/relationships/oleObject" Target="https://doimspp.sharepoint.com/sites/ETRS/Shared%20Documents/General/Pacific%20Islands%20Project%20ADB/SI_report/data%20release/Volume2.xlsx" TargetMode="External"/><Relationship Id="rId2" Type="http://schemas.microsoft.com/office/2011/relationships/chartColorStyle" Target="colors9.xml"/><Relationship Id="rId1" Type="http://schemas.microsoft.com/office/2011/relationships/chartStyle" Target="style9.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2"/>
          <c:order val="0"/>
          <c:tx>
            <c:strRef>
              <c:f>Kosrae!$D$2</c:f>
              <c:strCache>
                <c:ptCount val="1"/>
                <c:pt idx="0">
                  <c:v>mm</c:v>
                </c:pt>
              </c:strCache>
            </c:strRef>
          </c:tx>
          <c:spPr>
            <a:solidFill>
              <a:schemeClr val="accent3"/>
            </a:solidFill>
            <a:ln>
              <a:solidFill>
                <a:schemeClr val="accent1">
                  <a:lumMod val="60000"/>
                  <a:lumOff val="40000"/>
                </a:schemeClr>
              </a:solidFill>
            </a:ln>
            <a:effectLst/>
          </c:spPr>
          <c:invertIfNegative val="0"/>
          <c:cat>
            <c:strRef>
              <c:f>Kosrae!$A$3:$A$335</c:f>
              <c:strCache>
                <c:ptCount val="333"/>
                <c:pt idx="0">
                  <c:v>1998-01</c:v>
                </c:pt>
                <c:pt idx="1">
                  <c:v>1998-02</c:v>
                </c:pt>
                <c:pt idx="2">
                  <c:v>1998-03</c:v>
                </c:pt>
                <c:pt idx="3">
                  <c:v>1998-04</c:v>
                </c:pt>
                <c:pt idx="4">
                  <c:v>1998-05</c:v>
                </c:pt>
                <c:pt idx="5">
                  <c:v>1998-06</c:v>
                </c:pt>
                <c:pt idx="6">
                  <c:v>1998-07</c:v>
                </c:pt>
                <c:pt idx="7">
                  <c:v>1998-08</c:v>
                </c:pt>
                <c:pt idx="8">
                  <c:v>1998-09</c:v>
                </c:pt>
                <c:pt idx="9">
                  <c:v>1998-10</c:v>
                </c:pt>
                <c:pt idx="10">
                  <c:v>1998-11</c:v>
                </c:pt>
                <c:pt idx="11">
                  <c:v>1998-12</c:v>
                </c:pt>
                <c:pt idx="12">
                  <c:v>1999-01</c:v>
                </c:pt>
                <c:pt idx="13">
                  <c:v>1999-02</c:v>
                </c:pt>
                <c:pt idx="14">
                  <c:v>1999-03</c:v>
                </c:pt>
                <c:pt idx="15">
                  <c:v>1999-04</c:v>
                </c:pt>
                <c:pt idx="16">
                  <c:v>1999-05</c:v>
                </c:pt>
                <c:pt idx="17">
                  <c:v>1999-06</c:v>
                </c:pt>
                <c:pt idx="18">
                  <c:v>1999-07</c:v>
                </c:pt>
                <c:pt idx="19">
                  <c:v>1999-08</c:v>
                </c:pt>
                <c:pt idx="20">
                  <c:v>1999-09</c:v>
                </c:pt>
                <c:pt idx="21">
                  <c:v>1999-10</c:v>
                </c:pt>
                <c:pt idx="22">
                  <c:v>1999-11</c:v>
                </c:pt>
                <c:pt idx="23">
                  <c:v>1999-12</c:v>
                </c:pt>
                <c:pt idx="24">
                  <c:v>2000-01</c:v>
                </c:pt>
                <c:pt idx="25">
                  <c:v>2000-02</c:v>
                </c:pt>
                <c:pt idx="26">
                  <c:v>2000-03</c:v>
                </c:pt>
                <c:pt idx="27">
                  <c:v>2000-04</c:v>
                </c:pt>
                <c:pt idx="28">
                  <c:v>2000-05</c:v>
                </c:pt>
                <c:pt idx="29">
                  <c:v>2000-06</c:v>
                </c:pt>
                <c:pt idx="30">
                  <c:v>2000-07</c:v>
                </c:pt>
                <c:pt idx="31">
                  <c:v>2000-08</c:v>
                </c:pt>
                <c:pt idx="32">
                  <c:v>2000-09</c:v>
                </c:pt>
                <c:pt idx="33">
                  <c:v>2000-10</c:v>
                </c:pt>
                <c:pt idx="34">
                  <c:v>2000-11</c:v>
                </c:pt>
                <c:pt idx="35">
                  <c:v>2000-12</c:v>
                </c:pt>
                <c:pt idx="36">
                  <c:v>2001-01</c:v>
                </c:pt>
                <c:pt idx="37">
                  <c:v>2001-02</c:v>
                </c:pt>
                <c:pt idx="38">
                  <c:v>2001-03</c:v>
                </c:pt>
                <c:pt idx="39">
                  <c:v>2001-04</c:v>
                </c:pt>
                <c:pt idx="40">
                  <c:v>2001-05</c:v>
                </c:pt>
                <c:pt idx="41">
                  <c:v>2001-06</c:v>
                </c:pt>
                <c:pt idx="42">
                  <c:v>2001-07</c:v>
                </c:pt>
                <c:pt idx="43">
                  <c:v>2001-08</c:v>
                </c:pt>
                <c:pt idx="44">
                  <c:v>2001-09</c:v>
                </c:pt>
                <c:pt idx="45">
                  <c:v>2001-10</c:v>
                </c:pt>
                <c:pt idx="46">
                  <c:v>2001-11</c:v>
                </c:pt>
                <c:pt idx="47">
                  <c:v>2001-12</c:v>
                </c:pt>
                <c:pt idx="48">
                  <c:v>2002-01</c:v>
                </c:pt>
                <c:pt idx="49">
                  <c:v>2002-02</c:v>
                </c:pt>
                <c:pt idx="50">
                  <c:v>2002-03</c:v>
                </c:pt>
                <c:pt idx="51">
                  <c:v>2002-04</c:v>
                </c:pt>
                <c:pt idx="52">
                  <c:v>2002-05</c:v>
                </c:pt>
                <c:pt idx="53">
                  <c:v>2002-06</c:v>
                </c:pt>
                <c:pt idx="54">
                  <c:v>2002-07</c:v>
                </c:pt>
                <c:pt idx="55">
                  <c:v>2002-08</c:v>
                </c:pt>
                <c:pt idx="56">
                  <c:v>2002-09</c:v>
                </c:pt>
                <c:pt idx="57">
                  <c:v>2002-10</c:v>
                </c:pt>
                <c:pt idx="58">
                  <c:v>2002-11</c:v>
                </c:pt>
                <c:pt idx="59">
                  <c:v>2002-12</c:v>
                </c:pt>
                <c:pt idx="60">
                  <c:v>2003-01</c:v>
                </c:pt>
                <c:pt idx="61">
                  <c:v>2003-02</c:v>
                </c:pt>
                <c:pt idx="62">
                  <c:v>2003-03</c:v>
                </c:pt>
                <c:pt idx="63">
                  <c:v>2003-04</c:v>
                </c:pt>
                <c:pt idx="64">
                  <c:v>2003-05</c:v>
                </c:pt>
                <c:pt idx="65">
                  <c:v>2003-06</c:v>
                </c:pt>
                <c:pt idx="66">
                  <c:v>2003-07</c:v>
                </c:pt>
                <c:pt idx="67">
                  <c:v>2003-08</c:v>
                </c:pt>
                <c:pt idx="68">
                  <c:v>2003-09</c:v>
                </c:pt>
                <c:pt idx="69">
                  <c:v>2003-10</c:v>
                </c:pt>
                <c:pt idx="70">
                  <c:v>2003-11</c:v>
                </c:pt>
                <c:pt idx="71">
                  <c:v>2003-12</c:v>
                </c:pt>
                <c:pt idx="72">
                  <c:v>2004-01</c:v>
                </c:pt>
                <c:pt idx="73">
                  <c:v>2004-02</c:v>
                </c:pt>
                <c:pt idx="74">
                  <c:v>2004-03</c:v>
                </c:pt>
                <c:pt idx="75">
                  <c:v>2004-04</c:v>
                </c:pt>
                <c:pt idx="76">
                  <c:v>2004-05</c:v>
                </c:pt>
                <c:pt idx="77">
                  <c:v>2004-06</c:v>
                </c:pt>
                <c:pt idx="78">
                  <c:v>2004-07</c:v>
                </c:pt>
                <c:pt idx="79">
                  <c:v>2004-08</c:v>
                </c:pt>
                <c:pt idx="80">
                  <c:v>2004-09</c:v>
                </c:pt>
                <c:pt idx="81">
                  <c:v>2004-10</c:v>
                </c:pt>
                <c:pt idx="82">
                  <c:v>2004-11</c:v>
                </c:pt>
                <c:pt idx="83">
                  <c:v>2004-12</c:v>
                </c:pt>
                <c:pt idx="84">
                  <c:v>2005-01</c:v>
                </c:pt>
                <c:pt idx="85">
                  <c:v>2005-02</c:v>
                </c:pt>
                <c:pt idx="86">
                  <c:v>2005-03</c:v>
                </c:pt>
                <c:pt idx="87">
                  <c:v>2005-04</c:v>
                </c:pt>
                <c:pt idx="88">
                  <c:v>2005-05</c:v>
                </c:pt>
                <c:pt idx="89">
                  <c:v>2005-06</c:v>
                </c:pt>
                <c:pt idx="90">
                  <c:v>2005-07</c:v>
                </c:pt>
                <c:pt idx="91">
                  <c:v>2005-08</c:v>
                </c:pt>
                <c:pt idx="92">
                  <c:v>2005-09</c:v>
                </c:pt>
                <c:pt idx="93">
                  <c:v>2005-10</c:v>
                </c:pt>
                <c:pt idx="94">
                  <c:v>2005-11</c:v>
                </c:pt>
                <c:pt idx="95">
                  <c:v>2005-12</c:v>
                </c:pt>
                <c:pt idx="96">
                  <c:v>2006-01</c:v>
                </c:pt>
                <c:pt idx="97">
                  <c:v>2006-02</c:v>
                </c:pt>
                <c:pt idx="98">
                  <c:v>2006-03</c:v>
                </c:pt>
                <c:pt idx="99">
                  <c:v>2006-04</c:v>
                </c:pt>
                <c:pt idx="100">
                  <c:v>2006-05</c:v>
                </c:pt>
                <c:pt idx="101">
                  <c:v>2006-06</c:v>
                </c:pt>
                <c:pt idx="102">
                  <c:v>2006-07</c:v>
                </c:pt>
                <c:pt idx="103">
                  <c:v>2006-08</c:v>
                </c:pt>
                <c:pt idx="104">
                  <c:v>2006-09</c:v>
                </c:pt>
                <c:pt idx="105">
                  <c:v>2006-10</c:v>
                </c:pt>
                <c:pt idx="106">
                  <c:v>2006-11</c:v>
                </c:pt>
                <c:pt idx="107">
                  <c:v>2006-12</c:v>
                </c:pt>
                <c:pt idx="108">
                  <c:v>2007-01</c:v>
                </c:pt>
                <c:pt idx="109">
                  <c:v>2007-02</c:v>
                </c:pt>
                <c:pt idx="110">
                  <c:v>2007-03</c:v>
                </c:pt>
                <c:pt idx="111">
                  <c:v>2007-04</c:v>
                </c:pt>
                <c:pt idx="112">
                  <c:v>2007-05</c:v>
                </c:pt>
                <c:pt idx="113">
                  <c:v>2007-06</c:v>
                </c:pt>
                <c:pt idx="114">
                  <c:v>2007-07</c:v>
                </c:pt>
                <c:pt idx="115">
                  <c:v>2007-08</c:v>
                </c:pt>
                <c:pt idx="116">
                  <c:v>2007-09</c:v>
                </c:pt>
                <c:pt idx="117">
                  <c:v>2007-10</c:v>
                </c:pt>
                <c:pt idx="118">
                  <c:v>2007-11</c:v>
                </c:pt>
                <c:pt idx="119">
                  <c:v>2007-12</c:v>
                </c:pt>
                <c:pt idx="120">
                  <c:v>2008-01</c:v>
                </c:pt>
                <c:pt idx="121">
                  <c:v>2008-02</c:v>
                </c:pt>
                <c:pt idx="122">
                  <c:v>2008-03</c:v>
                </c:pt>
                <c:pt idx="123">
                  <c:v>2008-04</c:v>
                </c:pt>
                <c:pt idx="124">
                  <c:v>2008-05</c:v>
                </c:pt>
                <c:pt idx="125">
                  <c:v>2008-06</c:v>
                </c:pt>
                <c:pt idx="126">
                  <c:v>2008-07</c:v>
                </c:pt>
                <c:pt idx="127">
                  <c:v>2008-08</c:v>
                </c:pt>
                <c:pt idx="128">
                  <c:v>2008-09</c:v>
                </c:pt>
                <c:pt idx="129">
                  <c:v>2008-10</c:v>
                </c:pt>
                <c:pt idx="130">
                  <c:v>2008-11</c:v>
                </c:pt>
                <c:pt idx="131">
                  <c:v>2008-12</c:v>
                </c:pt>
                <c:pt idx="132">
                  <c:v>2009-01</c:v>
                </c:pt>
                <c:pt idx="133">
                  <c:v>2009-02</c:v>
                </c:pt>
                <c:pt idx="134">
                  <c:v>2009-03</c:v>
                </c:pt>
                <c:pt idx="135">
                  <c:v>2009-04</c:v>
                </c:pt>
                <c:pt idx="136">
                  <c:v>2009-05</c:v>
                </c:pt>
                <c:pt idx="137">
                  <c:v>2009-06</c:v>
                </c:pt>
                <c:pt idx="138">
                  <c:v>2009-07</c:v>
                </c:pt>
                <c:pt idx="139">
                  <c:v>2009-08</c:v>
                </c:pt>
                <c:pt idx="140">
                  <c:v>2009-09</c:v>
                </c:pt>
                <c:pt idx="141">
                  <c:v>2009-10</c:v>
                </c:pt>
                <c:pt idx="142">
                  <c:v>2009-11</c:v>
                </c:pt>
                <c:pt idx="143">
                  <c:v>2009-12</c:v>
                </c:pt>
                <c:pt idx="144">
                  <c:v>2010-01</c:v>
                </c:pt>
                <c:pt idx="145">
                  <c:v>2010-02</c:v>
                </c:pt>
                <c:pt idx="146">
                  <c:v>2010-03</c:v>
                </c:pt>
                <c:pt idx="147">
                  <c:v>2010-04</c:v>
                </c:pt>
                <c:pt idx="148">
                  <c:v>2010-05</c:v>
                </c:pt>
                <c:pt idx="149">
                  <c:v>2010-06</c:v>
                </c:pt>
                <c:pt idx="150">
                  <c:v>2010-07</c:v>
                </c:pt>
                <c:pt idx="151">
                  <c:v>2010-08</c:v>
                </c:pt>
                <c:pt idx="152">
                  <c:v>2010-09</c:v>
                </c:pt>
                <c:pt idx="153">
                  <c:v>2010-10</c:v>
                </c:pt>
                <c:pt idx="154">
                  <c:v>2010-11</c:v>
                </c:pt>
                <c:pt idx="155">
                  <c:v>2010-12</c:v>
                </c:pt>
                <c:pt idx="156">
                  <c:v>2011-01</c:v>
                </c:pt>
                <c:pt idx="157">
                  <c:v>2011-02</c:v>
                </c:pt>
                <c:pt idx="158">
                  <c:v>2011-03</c:v>
                </c:pt>
                <c:pt idx="159">
                  <c:v>2011-04</c:v>
                </c:pt>
                <c:pt idx="160">
                  <c:v>2011-05</c:v>
                </c:pt>
                <c:pt idx="161">
                  <c:v>2011-06</c:v>
                </c:pt>
                <c:pt idx="162">
                  <c:v>2011-07</c:v>
                </c:pt>
                <c:pt idx="163">
                  <c:v>2011-08</c:v>
                </c:pt>
                <c:pt idx="164">
                  <c:v>2011-09</c:v>
                </c:pt>
                <c:pt idx="165">
                  <c:v>2011-10</c:v>
                </c:pt>
                <c:pt idx="166">
                  <c:v>2011-11</c:v>
                </c:pt>
                <c:pt idx="167">
                  <c:v>2011-12</c:v>
                </c:pt>
                <c:pt idx="168">
                  <c:v>2012-01</c:v>
                </c:pt>
                <c:pt idx="169">
                  <c:v>2012-02</c:v>
                </c:pt>
                <c:pt idx="170">
                  <c:v>2012-03</c:v>
                </c:pt>
                <c:pt idx="171">
                  <c:v>2012-04</c:v>
                </c:pt>
                <c:pt idx="172">
                  <c:v>2012-05</c:v>
                </c:pt>
                <c:pt idx="173">
                  <c:v>2012-06</c:v>
                </c:pt>
                <c:pt idx="174">
                  <c:v>2012-07</c:v>
                </c:pt>
                <c:pt idx="175">
                  <c:v>2012-08</c:v>
                </c:pt>
                <c:pt idx="176">
                  <c:v>2012-09</c:v>
                </c:pt>
                <c:pt idx="177">
                  <c:v>2012-10</c:v>
                </c:pt>
                <c:pt idx="178">
                  <c:v>2012-11</c:v>
                </c:pt>
                <c:pt idx="179">
                  <c:v>2012-12</c:v>
                </c:pt>
                <c:pt idx="180">
                  <c:v>2013-01</c:v>
                </c:pt>
                <c:pt idx="181">
                  <c:v>2013-02</c:v>
                </c:pt>
                <c:pt idx="182">
                  <c:v>2013-03</c:v>
                </c:pt>
                <c:pt idx="183">
                  <c:v>2013-04</c:v>
                </c:pt>
                <c:pt idx="184">
                  <c:v>2013-05</c:v>
                </c:pt>
                <c:pt idx="185">
                  <c:v>2013-06</c:v>
                </c:pt>
                <c:pt idx="186">
                  <c:v>2013-07</c:v>
                </c:pt>
                <c:pt idx="187">
                  <c:v>2013-08</c:v>
                </c:pt>
                <c:pt idx="188">
                  <c:v>2013-09</c:v>
                </c:pt>
                <c:pt idx="189">
                  <c:v>2013-10</c:v>
                </c:pt>
                <c:pt idx="190">
                  <c:v>2013-11</c:v>
                </c:pt>
                <c:pt idx="191">
                  <c:v>2013-12</c:v>
                </c:pt>
                <c:pt idx="192">
                  <c:v>2014-01</c:v>
                </c:pt>
                <c:pt idx="193">
                  <c:v>2014-02</c:v>
                </c:pt>
                <c:pt idx="194">
                  <c:v>2014-03</c:v>
                </c:pt>
                <c:pt idx="195">
                  <c:v>2014-04</c:v>
                </c:pt>
                <c:pt idx="196">
                  <c:v>2014-05</c:v>
                </c:pt>
                <c:pt idx="197">
                  <c:v>2014-06</c:v>
                </c:pt>
                <c:pt idx="198">
                  <c:v>2014-07</c:v>
                </c:pt>
                <c:pt idx="199">
                  <c:v>2014-08</c:v>
                </c:pt>
                <c:pt idx="200">
                  <c:v>2014-09</c:v>
                </c:pt>
                <c:pt idx="201">
                  <c:v>2014-10</c:v>
                </c:pt>
                <c:pt idx="202">
                  <c:v>2014-11</c:v>
                </c:pt>
                <c:pt idx="203">
                  <c:v>2014-12</c:v>
                </c:pt>
                <c:pt idx="204">
                  <c:v>2015-01</c:v>
                </c:pt>
                <c:pt idx="205">
                  <c:v>2015-02</c:v>
                </c:pt>
                <c:pt idx="206">
                  <c:v>2015-03</c:v>
                </c:pt>
                <c:pt idx="207">
                  <c:v>2015-04</c:v>
                </c:pt>
                <c:pt idx="208">
                  <c:v>2015-05</c:v>
                </c:pt>
                <c:pt idx="209">
                  <c:v>2015-06</c:v>
                </c:pt>
                <c:pt idx="210">
                  <c:v>2015-07</c:v>
                </c:pt>
                <c:pt idx="211">
                  <c:v>2015-08</c:v>
                </c:pt>
                <c:pt idx="212">
                  <c:v>2015-09</c:v>
                </c:pt>
                <c:pt idx="213">
                  <c:v>2015-10</c:v>
                </c:pt>
                <c:pt idx="214">
                  <c:v>2015-11</c:v>
                </c:pt>
                <c:pt idx="215">
                  <c:v>2015-12</c:v>
                </c:pt>
                <c:pt idx="216">
                  <c:v>2016-01</c:v>
                </c:pt>
                <c:pt idx="217">
                  <c:v>2016-02</c:v>
                </c:pt>
                <c:pt idx="218">
                  <c:v>2016-03</c:v>
                </c:pt>
                <c:pt idx="219">
                  <c:v>2016-04</c:v>
                </c:pt>
                <c:pt idx="220">
                  <c:v>2016-05</c:v>
                </c:pt>
                <c:pt idx="221">
                  <c:v>2016-06</c:v>
                </c:pt>
                <c:pt idx="222">
                  <c:v>2016-07</c:v>
                </c:pt>
                <c:pt idx="223">
                  <c:v>2016-08</c:v>
                </c:pt>
                <c:pt idx="224">
                  <c:v>2016-09</c:v>
                </c:pt>
                <c:pt idx="225">
                  <c:v>2016-10</c:v>
                </c:pt>
                <c:pt idx="226">
                  <c:v>2016-11</c:v>
                </c:pt>
                <c:pt idx="227">
                  <c:v>2016-12</c:v>
                </c:pt>
                <c:pt idx="228">
                  <c:v>2017-01</c:v>
                </c:pt>
                <c:pt idx="229">
                  <c:v>2017-02</c:v>
                </c:pt>
                <c:pt idx="230">
                  <c:v>2017-03</c:v>
                </c:pt>
                <c:pt idx="231">
                  <c:v>2017-04</c:v>
                </c:pt>
                <c:pt idx="232">
                  <c:v>2017-05</c:v>
                </c:pt>
                <c:pt idx="233">
                  <c:v>2017-06</c:v>
                </c:pt>
                <c:pt idx="234">
                  <c:v>2017-07</c:v>
                </c:pt>
                <c:pt idx="235">
                  <c:v>2017-08</c:v>
                </c:pt>
                <c:pt idx="236">
                  <c:v>2017-09</c:v>
                </c:pt>
                <c:pt idx="237">
                  <c:v>2017-10</c:v>
                </c:pt>
                <c:pt idx="238">
                  <c:v>2017-11</c:v>
                </c:pt>
                <c:pt idx="239">
                  <c:v>2017-12</c:v>
                </c:pt>
                <c:pt idx="240">
                  <c:v>2018-01</c:v>
                </c:pt>
                <c:pt idx="241">
                  <c:v>2018-02</c:v>
                </c:pt>
                <c:pt idx="242">
                  <c:v>2018-03</c:v>
                </c:pt>
                <c:pt idx="243">
                  <c:v>2018-04</c:v>
                </c:pt>
                <c:pt idx="244">
                  <c:v>2018-05</c:v>
                </c:pt>
                <c:pt idx="245">
                  <c:v>2018-06</c:v>
                </c:pt>
                <c:pt idx="246">
                  <c:v>2018-07</c:v>
                </c:pt>
                <c:pt idx="247">
                  <c:v>2018-08</c:v>
                </c:pt>
                <c:pt idx="248">
                  <c:v>2018-09</c:v>
                </c:pt>
                <c:pt idx="249">
                  <c:v>2018-10</c:v>
                </c:pt>
                <c:pt idx="250">
                  <c:v>2018-11</c:v>
                </c:pt>
                <c:pt idx="251">
                  <c:v>2018-12</c:v>
                </c:pt>
                <c:pt idx="252">
                  <c:v>2019-01</c:v>
                </c:pt>
                <c:pt idx="253">
                  <c:v>2019-02</c:v>
                </c:pt>
                <c:pt idx="254">
                  <c:v>2019-03</c:v>
                </c:pt>
                <c:pt idx="255">
                  <c:v>2019-04</c:v>
                </c:pt>
                <c:pt idx="256">
                  <c:v>2019-05</c:v>
                </c:pt>
                <c:pt idx="257">
                  <c:v>2019-06</c:v>
                </c:pt>
                <c:pt idx="258">
                  <c:v>2019-07</c:v>
                </c:pt>
                <c:pt idx="259">
                  <c:v>2019-08</c:v>
                </c:pt>
                <c:pt idx="260">
                  <c:v>2019-09</c:v>
                </c:pt>
                <c:pt idx="261">
                  <c:v>2019-10</c:v>
                </c:pt>
                <c:pt idx="262">
                  <c:v>2019-11</c:v>
                </c:pt>
                <c:pt idx="263">
                  <c:v>2019-12</c:v>
                </c:pt>
                <c:pt idx="264">
                  <c:v>2020-01</c:v>
                </c:pt>
                <c:pt idx="265">
                  <c:v>2020-02</c:v>
                </c:pt>
                <c:pt idx="266">
                  <c:v>2020-03</c:v>
                </c:pt>
                <c:pt idx="267">
                  <c:v>2020-04</c:v>
                </c:pt>
                <c:pt idx="268">
                  <c:v>2020-05</c:v>
                </c:pt>
                <c:pt idx="269">
                  <c:v>2020-06</c:v>
                </c:pt>
                <c:pt idx="270">
                  <c:v>2020-07</c:v>
                </c:pt>
                <c:pt idx="271">
                  <c:v>2020-08</c:v>
                </c:pt>
                <c:pt idx="272">
                  <c:v>2020-09</c:v>
                </c:pt>
                <c:pt idx="273">
                  <c:v>2020-10</c:v>
                </c:pt>
                <c:pt idx="274">
                  <c:v>2020-11</c:v>
                </c:pt>
                <c:pt idx="275">
                  <c:v>2020-12</c:v>
                </c:pt>
                <c:pt idx="276">
                  <c:v>2021-01</c:v>
                </c:pt>
                <c:pt idx="277">
                  <c:v>2021-02</c:v>
                </c:pt>
                <c:pt idx="278">
                  <c:v>2021-03</c:v>
                </c:pt>
                <c:pt idx="279">
                  <c:v>2021-04</c:v>
                </c:pt>
                <c:pt idx="280">
                  <c:v>2021-05</c:v>
                </c:pt>
                <c:pt idx="281">
                  <c:v>2021-06</c:v>
                </c:pt>
                <c:pt idx="282">
                  <c:v>2021-07</c:v>
                </c:pt>
                <c:pt idx="283">
                  <c:v>2021-08</c:v>
                </c:pt>
                <c:pt idx="284">
                  <c:v>2021-09</c:v>
                </c:pt>
                <c:pt idx="285">
                  <c:v>2021-10</c:v>
                </c:pt>
                <c:pt idx="286">
                  <c:v>2021-11</c:v>
                </c:pt>
                <c:pt idx="287">
                  <c:v>2021-12</c:v>
                </c:pt>
                <c:pt idx="288">
                  <c:v>2022-01</c:v>
                </c:pt>
                <c:pt idx="289">
                  <c:v>2022-02</c:v>
                </c:pt>
                <c:pt idx="290">
                  <c:v>2022-03</c:v>
                </c:pt>
                <c:pt idx="291">
                  <c:v>2022-04</c:v>
                </c:pt>
                <c:pt idx="292">
                  <c:v>2022-05</c:v>
                </c:pt>
                <c:pt idx="293">
                  <c:v>2022-06</c:v>
                </c:pt>
                <c:pt idx="294">
                  <c:v>2022-07</c:v>
                </c:pt>
                <c:pt idx="295">
                  <c:v>2022-08</c:v>
                </c:pt>
                <c:pt idx="296">
                  <c:v>2022-09</c:v>
                </c:pt>
                <c:pt idx="297">
                  <c:v>2022-10</c:v>
                </c:pt>
                <c:pt idx="298">
                  <c:v>2022-11</c:v>
                </c:pt>
                <c:pt idx="299">
                  <c:v>2022-12</c:v>
                </c:pt>
                <c:pt idx="300">
                  <c:v>2023-01</c:v>
                </c:pt>
                <c:pt idx="301">
                  <c:v>2023-02</c:v>
                </c:pt>
                <c:pt idx="302">
                  <c:v>2023-03</c:v>
                </c:pt>
                <c:pt idx="303">
                  <c:v>2023-04</c:v>
                </c:pt>
                <c:pt idx="304">
                  <c:v>2023-05</c:v>
                </c:pt>
                <c:pt idx="305">
                  <c:v>2023-06</c:v>
                </c:pt>
                <c:pt idx="306">
                  <c:v>2023-07</c:v>
                </c:pt>
                <c:pt idx="307">
                  <c:v>2023-08</c:v>
                </c:pt>
                <c:pt idx="308">
                  <c:v>2023-09</c:v>
                </c:pt>
                <c:pt idx="309">
                  <c:v>2023-10</c:v>
                </c:pt>
                <c:pt idx="310">
                  <c:v>2023-11</c:v>
                </c:pt>
                <c:pt idx="311">
                  <c:v>2023-12</c:v>
                </c:pt>
                <c:pt idx="312">
                  <c:v>2024-01</c:v>
                </c:pt>
                <c:pt idx="313">
                  <c:v>2024-02</c:v>
                </c:pt>
                <c:pt idx="314">
                  <c:v>2024-03</c:v>
                </c:pt>
                <c:pt idx="315">
                  <c:v>2024-04</c:v>
                </c:pt>
                <c:pt idx="316">
                  <c:v>2024-05</c:v>
                </c:pt>
                <c:pt idx="317">
                  <c:v>2024-06</c:v>
                </c:pt>
                <c:pt idx="318">
                  <c:v>2024-07</c:v>
                </c:pt>
                <c:pt idx="319">
                  <c:v>2024-08</c:v>
                </c:pt>
                <c:pt idx="320">
                  <c:v>2024-09</c:v>
                </c:pt>
                <c:pt idx="321">
                  <c:v>2024-10</c:v>
                </c:pt>
                <c:pt idx="322">
                  <c:v>2024-11</c:v>
                </c:pt>
                <c:pt idx="323">
                  <c:v>2024-12</c:v>
                </c:pt>
                <c:pt idx="324">
                  <c:v>2025-01</c:v>
                </c:pt>
                <c:pt idx="325">
                  <c:v>2025-02</c:v>
                </c:pt>
                <c:pt idx="326">
                  <c:v>2025-03</c:v>
                </c:pt>
                <c:pt idx="327">
                  <c:v>2025-04</c:v>
                </c:pt>
                <c:pt idx="328">
                  <c:v>2025-05</c:v>
                </c:pt>
                <c:pt idx="329">
                  <c:v>2025-06</c:v>
                </c:pt>
                <c:pt idx="330">
                  <c:v>2025-07</c:v>
                </c:pt>
                <c:pt idx="331">
                  <c:v>2025-08</c:v>
                </c:pt>
                <c:pt idx="332">
                  <c:v>2025-09</c:v>
                </c:pt>
              </c:strCache>
            </c:strRef>
          </c:cat>
          <c:val>
            <c:numRef>
              <c:f>Kosrae!$D$3:$D$335</c:f>
              <c:numCache>
                <c:formatCode>0.00</c:formatCode>
                <c:ptCount val="333"/>
                <c:pt idx="0">
                  <c:v>43.513332077000001</c:v>
                </c:pt>
                <c:pt idx="1">
                  <c:v>43.446665320000001</c:v>
                </c:pt>
                <c:pt idx="2">
                  <c:v>8.2566664030000005</c:v>
                </c:pt>
                <c:pt idx="3">
                  <c:v>4.5658330429999996</c:v>
                </c:pt>
                <c:pt idx="4">
                  <c:v>165.94582689799901</c:v>
                </c:pt>
                <c:pt idx="5">
                  <c:v>78.636666626999997</c:v>
                </c:pt>
                <c:pt idx="6">
                  <c:v>258.65998135199999</c:v>
                </c:pt>
                <c:pt idx="7">
                  <c:v>23.090832724999999</c:v>
                </c:pt>
                <c:pt idx="8">
                  <c:v>16.101666392999999</c:v>
                </c:pt>
                <c:pt idx="9">
                  <c:v>49.683333239999897</c:v>
                </c:pt>
                <c:pt idx="10">
                  <c:v>22.999166514999999</c:v>
                </c:pt>
                <c:pt idx="11">
                  <c:v>62.377499886999999</c:v>
                </c:pt>
                <c:pt idx="12">
                  <c:v>48.623330213000003</c:v>
                </c:pt>
                <c:pt idx="13">
                  <c:v>34.494166114000002</c:v>
                </c:pt>
                <c:pt idx="14">
                  <c:v>104.455830707</c:v>
                </c:pt>
                <c:pt idx="15">
                  <c:v>16.897500076</c:v>
                </c:pt>
                <c:pt idx="16">
                  <c:v>78.067497978000006</c:v>
                </c:pt>
                <c:pt idx="17">
                  <c:v>267.88584339900001</c:v>
                </c:pt>
                <c:pt idx="18">
                  <c:v>200.71249994999999</c:v>
                </c:pt>
                <c:pt idx="19">
                  <c:v>102.38499719000001</c:v>
                </c:pt>
                <c:pt idx="20">
                  <c:v>86.396666775</c:v>
                </c:pt>
                <c:pt idx="21">
                  <c:v>130.50166731100001</c:v>
                </c:pt>
                <c:pt idx="22">
                  <c:v>132.001663342</c:v>
                </c:pt>
                <c:pt idx="23">
                  <c:v>38.126666319000002</c:v>
                </c:pt>
                <c:pt idx="24">
                  <c:v>366.065830613</c:v>
                </c:pt>
                <c:pt idx="25">
                  <c:v>391.63832278000001</c:v>
                </c:pt>
                <c:pt idx="26">
                  <c:v>502.03082009100001</c:v>
                </c:pt>
                <c:pt idx="27">
                  <c:v>492.50498030099999</c:v>
                </c:pt>
                <c:pt idx="28">
                  <c:v>276.59249091599997</c:v>
                </c:pt>
                <c:pt idx="29">
                  <c:v>216.57416345799999</c:v>
                </c:pt>
                <c:pt idx="30">
                  <c:v>284.92665556899999</c:v>
                </c:pt>
                <c:pt idx="31">
                  <c:v>409.20416723300002</c:v>
                </c:pt>
                <c:pt idx="32">
                  <c:v>228.27748615299899</c:v>
                </c:pt>
                <c:pt idx="33">
                  <c:v>345.93832671000001</c:v>
                </c:pt>
                <c:pt idx="34">
                  <c:v>377.09914908500002</c:v>
                </c:pt>
                <c:pt idx="35">
                  <c:v>481.14416106900001</c:v>
                </c:pt>
                <c:pt idx="36">
                  <c:v>625.02498799800003</c:v>
                </c:pt>
                <c:pt idx="37">
                  <c:v>434.99498415699998</c:v>
                </c:pt>
                <c:pt idx="38">
                  <c:v>82.590828684000002</c:v>
                </c:pt>
                <c:pt idx="39">
                  <c:v>343.659163896</c:v>
                </c:pt>
                <c:pt idx="40">
                  <c:v>295.46916281900002</c:v>
                </c:pt>
                <c:pt idx="41">
                  <c:v>321.686659633999</c:v>
                </c:pt>
                <c:pt idx="42">
                  <c:v>216.563328388</c:v>
                </c:pt>
                <c:pt idx="43">
                  <c:v>298.29166176400003</c:v>
                </c:pt>
                <c:pt idx="44">
                  <c:v>184.89499419699999</c:v>
                </c:pt>
                <c:pt idx="45">
                  <c:v>279.43916217100002</c:v>
                </c:pt>
                <c:pt idx="46">
                  <c:v>358.52415671400001</c:v>
                </c:pt>
                <c:pt idx="47">
                  <c:v>1012.984152297</c:v>
                </c:pt>
                <c:pt idx="48">
                  <c:v>274.66249356499998</c:v>
                </c:pt>
                <c:pt idx="49">
                  <c:v>302.09331633300002</c:v>
                </c:pt>
                <c:pt idx="50">
                  <c:v>279.25415851100001</c:v>
                </c:pt>
                <c:pt idx="51">
                  <c:v>435.55082325699999</c:v>
                </c:pt>
                <c:pt idx="52">
                  <c:v>349.20582316999997</c:v>
                </c:pt>
                <c:pt idx="53">
                  <c:v>428.58165113299998</c:v>
                </c:pt>
                <c:pt idx="54">
                  <c:v>310.44749525899999</c:v>
                </c:pt>
                <c:pt idx="55">
                  <c:v>542.899152405</c:v>
                </c:pt>
                <c:pt idx="56">
                  <c:v>288.29499699399997</c:v>
                </c:pt>
                <c:pt idx="57">
                  <c:v>348.260822072</c:v>
                </c:pt>
                <c:pt idx="58">
                  <c:v>376.54999527500001</c:v>
                </c:pt>
                <c:pt idx="59">
                  <c:v>201.519161126</c:v>
                </c:pt>
                <c:pt idx="60">
                  <c:v>264.45415638999998</c:v>
                </c:pt>
                <c:pt idx="61">
                  <c:v>203.13832654999999</c:v>
                </c:pt>
                <c:pt idx="62">
                  <c:v>319.64832257900002</c:v>
                </c:pt>
                <c:pt idx="63">
                  <c:v>353.98165071699998</c:v>
                </c:pt>
                <c:pt idx="64">
                  <c:v>433.38081794899898</c:v>
                </c:pt>
                <c:pt idx="65">
                  <c:v>152.03249663599999</c:v>
                </c:pt>
                <c:pt idx="66">
                  <c:v>447.00332718800001</c:v>
                </c:pt>
                <c:pt idx="67">
                  <c:v>178.252498863</c:v>
                </c:pt>
                <c:pt idx="68">
                  <c:v>277.785824424</c:v>
                </c:pt>
                <c:pt idx="69">
                  <c:v>261.53499687200002</c:v>
                </c:pt>
                <c:pt idx="70">
                  <c:v>304.36415704400002</c:v>
                </c:pt>
                <c:pt idx="71">
                  <c:v>457.21749880300001</c:v>
                </c:pt>
                <c:pt idx="72">
                  <c:v>206.78416594500001</c:v>
                </c:pt>
                <c:pt idx="73">
                  <c:v>478.75498380800002</c:v>
                </c:pt>
                <c:pt idx="74">
                  <c:v>452.91831573799999</c:v>
                </c:pt>
                <c:pt idx="75">
                  <c:v>666.13832303300001</c:v>
                </c:pt>
                <c:pt idx="76">
                  <c:v>406.09665979699997</c:v>
                </c:pt>
                <c:pt idx="77">
                  <c:v>481.12833318999998</c:v>
                </c:pt>
                <c:pt idx="78">
                  <c:v>111.636664919</c:v>
                </c:pt>
                <c:pt idx="79">
                  <c:v>631.71832343100004</c:v>
                </c:pt>
                <c:pt idx="80">
                  <c:v>185.65332944900001</c:v>
                </c:pt>
                <c:pt idx="81">
                  <c:v>252.28582311</c:v>
                </c:pt>
                <c:pt idx="82">
                  <c:v>347.22832774400001</c:v>
                </c:pt>
                <c:pt idx="83">
                  <c:v>222.53249755499999</c:v>
                </c:pt>
                <c:pt idx="84">
                  <c:v>479.851655994</c:v>
                </c:pt>
                <c:pt idx="85">
                  <c:v>116.133329718</c:v>
                </c:pt>
                <c:pt idx="86">
                  <c:v>179.58249740299999</c:v>
                </c:pt>
                <c:pt idx="87">
                  <c:v>610.914975927</c:v>
                </c:pt>
                <c:pt idx="88">
                  <c:v>393.39498716700001</c:v>
                </c:pt>
                <c:pt idx="89">
                  <c:v>412.42582554699999</c:v>
                </c:pt>
                <c:pt idx="90">
                  <c:v>278.13583108</c:v>
                </c:pt>
                <c:pt idx="91">
                  <c:v>424.30665965999998</c:v>
                </c:pt>
                <c:pt idx="92">
                  <c:v>316.71082244500002</c:v>
                </c:pt>
                <c:pt idx="93">
                  <c:v>226.484993895</c:v>
                </c:pt>
                <c:pt idx="94">
                  <c:v>334.93582558200001</c:v>
                </c:pt>
                <c:pt idx="95">
                  <c:v>681.67583513099999</c:v>
                </c:pt>
                <c:pt idx="96">
                  <c:v>523.11915871299902</c:v>
                </c:pt>
                <c:pt idx="97">
                  <c:v>186.08332724899901</c:v>
                </c:pt>
                <c:pt idx="98">
                  <c:v>358.29416461699998</c:v>
                </c:pt>
                <c:pt idx="99">
                  <c:v>567.24915394200002</c:v>
                </c:pt>
                <c:pt idx="100">
                  <c:v>215.98166290399999</c:v>
                </c:pt>
                <c:pt idx="101">
                  <c:v>277.97832616099998</c:v>
                </c:pt>
                <c:pt idx="102">
                  <c:v>427.71415435199998</c:v>
                </c:pt>
                <c:pt idx="103">
                  <c:v>339.70832825299999</c:v>
                </c:pt>
                <c:pt idx="104">
                  <c:v>210.864163983</c:v>
                </c:pt>
                <c:pt idx="105">
                  <c:v>308.557502712999</c:v>
                </c:pt>
                <c:pt idx="106">
                  <c:v>261.51583208900001</c:v>
                </c:pt>
                <c:pt idx="107">
                  <c:v>501.22497985699999</c:v>
                </c:pt>
                <c:pt idx="108">
                  <c:v>199.36166135299999</c:v>
                </c:pt>
                <c:pt idx="109">
                  <c:v>139.65332905099999</c:v>
                </c:pt>
                <c:pt idx="110">
                  <c:v>303.75499222100001</c:v>
                </c:pt>
                <c:pt idx="111">
                  <c:v>441.72665683100001</c:v>
                </c:pt>
                <c:pt idx="112">
                  <c:v>300.06249203300001</c:v>
                </c:pt>
                <c:pt idx="113">
                  <c:v>195.05499775800001</c:v>
                </c:pt>
                <c:pt idx="114">
                  <c:v>385.33749298200001</c:v>
                </c:pt>
                <c:pt idx="115">
                  <c:v>249.87082096899999</c:v>
                </c:pt>
                <c:pt idx="116">
                  <c:v>307.318325147</c:v>
                </c:pt>
                <c:pt idx="117">
                  <c:v>522.61081736200003</c:v>
                </c:pt>
                <c:pt idx="118">
                  <c:v>465.14333080099999</c:v>
                </c:pt>
                <c:pt idx="119">
                  <c:v>557.33748235400003</c:v>
                </c:pt>
                <c:pt idx="120">
                  <c:v>215.02832920399999</c:v>
                </c:pt>
                <c:pt idx="121">
                  <c:v>404.27332799200002</c:v>
                </c:pt>
                <c:pt idx="122">
                  <c:v>328.59666174500001</c:v>
                </c:pt>
                <c:pt idx="123">
                  <c:v>465.42499089799998</c:v>
                </c:pt>
                <c:pt idx="124">
                  <c:v>418.88332101899999</c:v>
                </c:pt>
                <c:pt idx="125">
                  <c:v>347.92998832000001</c:v>
                </c:pt>
                <c:pt idx="126">
                  <c:v>329.40998950800002</c:v>
                </c:pt>
                <c:pt idx="127">
                  <c:v>450.21832691999998</c:v>
                </c:pt>
                <c:pt idx="128">
                  <c:v>421.52332053600003</c:v>
                </c:pt>
                <c:pt idx="129">
                  <c:v>445.58915621300002</c:v>
                </c:pt>
                <c:pt idx="130">
                  <c:v>523.94332159999999</c:v>
                </c:pt>
                <c:pt idx="131">
                  <c:v>449.63331429200002</c:v>
                </c:pt>
                <c:pt idx="132">
                  <c:v>281.49833585900001</c:v>
                </c:pt>
                <c:pt idx="133">
                  <c:v>264.97750102999998</c:v>
                </c:pt>
                <c:pt idx="134">
                  <c:v>166.98083269599999</c:v>
                </c:pt>
                <c:pt idx="135">
                  <c:v>489.13415270799999</c:v>
                </c:pt>
                <c:pt idx="136">
                  <c:v>323.469991598999</c:v>
                </c:pt>
                <c:pt idx="137">
                  <c:v>304.898328209</c:v>
                </c:pt>
                <c:pt idx="138">
                  <c:v>348.14915770599998</c:v>
                </c:pt>
                <c:pt idx="139">
                  <c:v>173.514165314</c:v>
                </c:pt>
                <c:pt idx="140">
                  <c:v>429.89249477099997</c:v>
                </c:pt>
                <c:pt idx="141">
                  <c:v>486.52748464299998</c:v>
                </c:pt>
                <c:pt idx="142">
                  <c:v>361.10082471300001</c:v>
                </c:pt>
                <c:pt idx="143">
                  <c:v>382.39083184700002</c:v>
                </c:pt>
                <c:pt idx="144">
                  <c:v>363.65500150100002</c:v>
                </c:pt>
                <c:pt idx="145">
                  <c:v>22.750000654000001</c:v>
                </c:pt>
                <c:pt idx="146">
                  <c:v>375.09249680099998</c:v>
                </c:pt>
                <c:pt idx="147">
                  <c:v>504.18749054900002</c:v>
                </c:pt>
                <c:pt idx="148">
                  <c:v>251.334171497</c:v>
                </c:pt>
                <c:pt idx="149">
                  <c:v>396.77916673300001</c:v>
                </c:pt>
                <c:pt idx="150">
                  <c:v>424.08083144800003</c:v>
                </c:pt>
                <c:pt idx="151">
                  <c:v>208.09332691700001</c:v>
                </c:pt>
                <c:pt idx="152">
                  <c:v>166.53082802</c:v>
                </c:pt>
                <c:pt idx="153">
                  <c:v>218.45416543499999</c:v>
                </c:pt>
                <c:pt idx="154">
                  <c:v>278.63165741199998</c:v>
                </c:pt>
                <c:pt idx="155">
                  <c:v>218.86749970899999</c:v>
                </c:pt>
                <c:pt idx="156">
                  <c:v>178.86749261200001</c:v>
                </c:pt>
                <c:pt idx="157">
                  <c:v>224.36416148800001</c:v>
                </c:pt>
                <c:pt idx="158">
                  <c:v>223.618329937</c:v>
                </c:pt>
                <c:pt idx="159">
                  <c:v>352.557498928999</c:v>
                </c:pt>
                <c:pt idx="160">
                  <c:v>415.36749532800002</c:v>
                </c:pt>
                <c:pt idx="161">
                  <c:v>419.42332363999998</c:v>
                </c:pt>
                <c:pt idx="162">
                  <c:v>298.10832716300001</c:v>
                </c:pt>
                <c:pt idx="163">
                  <c:v>385.18999331999999</c:v>
                </c:pt>
                <c:pt idx="164">
                  <c:v>411.675828907999</c:v>
                </c:pt>
                <c:pt idx="165">
                  <c:v>381.35082431400002</c:v>
                </c:pt>
                <c:pt idx="166">
                  <c:v>243.353327428</c:v>
                </c:pt>
                <c:pt idx="167">
                  <c:v>460.0974913</c:v>
                </c:pt>
                <c:pt idx="168">
                  <c:v>177.70915756700001</c:v>
                </c:pt>
                <c:pt idx="169">
                  <c:v>410.57249426300001</c:v>
                </c:pt>
                <c:pt idx="170">
                  <c:v>237.022496418</c:v>
                </c:pt>
                <c:pt idx="171">
                  <c:v>245.80499653799899</c:v>
                </c:pt>
                <c:pt idx="172">
                  <c:v>295.24082271399999</c:v>
                </c:pt>
                <c:pt idx="173">
                  <c:v>392.40247601999999</c:v>
                </c:pt>
                <c:pt idx="174">
                  <c:v>434.37248520700001</c:v>
                </c:pt>
                <c:pt idx="175">
                  <c:v>426.43498385599997</c:v>
                </c:pt>
                <c:pt idx="176">
                  <c:v>352.85249191100002</c:v>
                </c:pt>
                <c:pt idx="177">
                  <c:v>342.19332711599998</c:v>
                </c:pt>
                <c:pt idx="178">
                  <c:v>387.7266611</c:v>
                </c:pt>
                <c:pt idx="179">
                  <c:v>396.60665332000002</c:v>
                </c:pt>
                <c:pt idx="180">
                  <c:v>408.28499587099998</c:v>
                </c:pt>
                <c:pt idx="181">
                  <c:v>441.66249258400001</c:v>
                </c:pt>
                <c:pt idx="182">
                  <c:v>147.96666826399999</c:v>
                </c:pt>
                <c:pt idx="183">
                  <c:v>413.54165323500001</c:v>
                </c:pt>
                <c:pt idx="184">
                  <c:v>373.39082049699999</c:v>
                </c:pt>
                <c:pt idx="185">
                  <c:v>329.50998986799999</c:v>
                </c:pt>
                <c:pt idx="186">
                  <c:v>376.94581241100002</c:v>
                </c:pt>
                <c:pt idx="187">
                  <c:v>250.66665919600001</c:v>
                </c:pt>
                <c:pt idx="188">
                  <c:v>265.93582783900001</c:v>
                </c:pt>
                <c:pt idx="189">
                  <c:v>388.261659576</c:v>
                </c:pt>
                <c:pt idx="190">
                  <c:v>363.26665275300002</c:v>
                </c:pt>
                <c:pt idx="191">
                  <c:v>306.562496716</c:v>
                </c:pt>
                <c:pt idx="192">
                  <c:v>314.64998263799998</c:v>
                </c:pt>
                <c:pt idx="193">
                  <c:v>280.89581948699998</c:v>
                </c:pt>
                <c:pt idx="194">
                  <c:v>370.56748829600002</c:v>
                </c:pt>
                <c:pt idx="195">
                  <c:v>475.99749555300002</c:v>
                </c:pt>
                <c:pt idx="196">
                  <c:v>269.84415804499997</c:v>
                </c:pt>
                <c:pt idx="197">
                  <c:v>404.42581621199997</c:v>
                </c:pt>
                <c:pt idx="198">
                  <c:v>595.24332077600002</c:v>
                </c:pt>
                <c:pt idx="199">
                  <c:v>244.83000196699999</c:v>
                </c:pt>
                <c:pt idx="200">
                  <c:v>295.10416028200001</c:v>
                </c:pt>
                <c:pt idx="201">
                  <c:v>270.42749299000002</c:v>
                </c:pt>
                <c:pt idx="202">
                  <c:v>314.070830855</c:v>
                </c:pt>
                <c:pt idx="203">
                  <c:v>267.38249313599999</c:v>
                </c:pt>
                <c:pt idx="204">
                  <c:v>477.304163797</c:v>
                </c:pt>
                <c:pt idx="205">
                  <c:v>369.58416124399997</c:v>
                </c:pt>
                <c:pt idx="206">
                  <c:v>507.88499429000001</c:v>
                </c:pt>
                <c:pt idx="207">
                  <c:v>500.709983771</c:v>
                </c:pt>
                <c:pt idx="208">
                  <c:v>302.38748926400001</c:v>
                </c:pt>
                <c:pt idx="209">
                  <c:v>593.87748525300003</c:v>
                </c:pt>
                <c:pt idx="210">
                  <c:v>337.153329359</c:v>
                </c:pt>
                <c:pt idx="211">
                  <c:v>327.91415709900002</c:v>
                </c:pt>
                <c:pt idx="212">
                  <c:v>366.977482743</c:v>
                </c:pt>
                <c:pt idx="213">
                  <c:v>153.50916595199999</c:v>
                </c:pt>
                <c:pt idx="214">
                  <c:v>149.49416331099999</c:v>
                </c:pt>
                <c:pt idx="215">
                  <c:v>306.06165827000001</c:v>
                </c:pt>
                <c:pt idx="216">
                  <c:v>171.99999575300001</c:v>
                </c:pt>
                <c:pt idx="217">
                  <c:v>239.23748915299899</c:v>
                </c:pt>
                <c:pt idx="218">
                  <c:v>73.622500349999996</c:v>
                </c:pt>
                <c:pt idx="219">
                  <c:v>109.390831550999</c:v>
                </c:pt>
                <c:pt idx="220">
                  <c:v>312.61416470799998</c:v>
                </c:pt>
                <c:pt idx="221">
                  <c:v>317.03999196799998</c:v>
                </c:pt>
                <c:pt idx="222">
                  <c:v>270.85499138799997</c:v>
                </c:pt>
                <c:pt idx="223">
                  <c:v>394.09081969200003</c:v>
                </c:pt>
                <c:pt idx="224">
                  <c:v>326.19082398400002</c:v>
                </c:pt>
                <c:pt idx="225">
                  <c:v>360.901664719</c:v>
                </c:pt>
                <c:pt idx="226">
                  <c:v>161.313332003</c:v>
                </c:pt>
                <c:pt idx="227">
                  <c:v>521.69414982499995</c:v>
                </c:pt>
                <c:pt idx="228">
                  <c:v>329.43499523499997</c:v>
                </c:pt>
                <c:pt idx="229">
                  <c:v>483.202484677999</c:v>
                </c:pt>
                <c:pt idx="230">
                  <c:v>396.33998725100003</c:v>
                </c:pt>
                <c:pt idx="231">
                  <c:v>368.43415449600002</c:v>
                </c:pt>
                <c:pt idx="232">
                  <c:v>396.57249294799999</c:v>
                </c:pt>
                <c:pt idx="233">
                  <c:v>326.92998964700001</c:v>
                </c:pt>
                <c:pt idx="234">
                  <c:v>315.53165755499998</c:v>
                </c:pt>
                <c:pt idx="235">
                  <c:v>352.75416347100003</c:v>
                </c:pt>
                <c:pt idx="236">
                  <c:v>474.27415794699999</c:v>
                </c:pt>
                <c:pt idx="237">
                  <c:v>239.47832386499999</c:v>
                </c:pt>
                <c:pt idx="238">
                  <c:v>425.61748560000001</c:v>
                </c:pt>
                <c:pt idx="239">
                  <c:v>456.54415830400001</c:v>
                </c:pt>
                <c:pt idx="240">
                  <c:v>442.00749534300002</c:v>
                </c:pt>
                <c:pt idx="241">
                  <c:v>353.12582984900001</c:v>
                </c:pt>
                <c:pt idx="242">
                  <c:v>421.64082331200001</c:v>
                </c:pt>
                <c:pt idx="243">
                  <c:v>482.424152319999</c:v>
                </c:pt>
                <c:pt idx="244">
                  <c:v>473.20415381700002</c:v>
                </c:pt>
                <c:pt idx="245">
                  <c:v>228.13666483200001</c:v>
                </c:pt>
                <c:pt idx="246">
                  <c:v>424.788325638</c:v>
                </c:pt>
                <c:pt idx="247">
                  <c:v>340.706660736</c:v>
                </c:pt>
                <c:pt idx="248">
                  <c:v>313.10582833400002</c:v>
                </c:pt>
                <c:pt idx="249">
                  <c:v>162.08916066</c:v>
                </c:pt>
                <c:pt idx="250">
                  <c:v>167.88082881599999</c:v>
                </c:pt>
                <c:pt idx="251">
                  <c:v>154.17249571100001</c:v>
                </c:pt>
                <c:pt idx="252">
                  <c:v>327.97665898000002</c:v>
                </c:pt>
                <c:pt idx="253">
                  <c:v>289.241658664</c:v>
                </c:pt>
                <c:pt idx="254">
                  <c:v>574.75164785599998</c:v>
                </c:pt>
                <c:pt idx="255">
                  <c:v>746.001660904</c:v>
                </c:pt>
                <c:pt idx="256">
                  <c:v>608.19581814200001</c:v>
                </c:pt>
                <c:pt idx="257">
                  <c:v>285.468327144</c:v>
                </c:pt>
                <c:pt idx="258">
                  <c:v>279.087491032</c:v>
                </c:pt>
                <c:pt idx="259">
                  <c:v>336.23332376600001</c:v>
                </c:pt>
                <c:pt idx="260">
                  <c:v>201.97082935099999</c:v>
                </c:pt>
                <c:pt idx="261">
                  <c:v>245.52999230500001</c:v>
                </c:pt>
                <c:pt idx="262">
                  <c:v>409.20165778900002</c:v>
                </c:pt>
                <c:pt idx="263">
                  <c:v>250.693325507</c:v>
                </c:pt>
                <c:pt idx="264">
                  <c:v>229.44499509599899</c:v>
                </c:pt>
                <c:pt idx="265">
                  <c:v>495.72332118399999</c:v>
                </c:pt>
                <c:pt idx="266">
                  <c:v>247.41416245900001</c:v>
                </c:pt>
                <c:pt idx="267">
                  <c:v>575.77664694700002</c:v>
                </c:pt>
                <c:pt idx="268">
                  <c:v>777.49914795799998</c:v>
                </c:pt>
                <c:pt idx="269">
                  <c:v>372.28333330499999</c:v>
                </c:pt>
                <c:pt idx="270">
                  <c:v>286.836659301</c:v>
                </c:pt>
                <c:pt idx="271">
                  <c:v>264.45916299499999</c:v>
                </c:pt>
                <c:pt idx="272">
                  <c:v>303.549997271</c:v>
                </c:pt>
                <c:pt idx="273">
                  <c:v>463.78831628199998</c:v>
                </c:pt>
                <c:pt idx="274">
                  <c:v>546.80415093700003</c:v>
                </c:pt>
                <c:pt idx="275">
                  <c:v>497.70499179299998</c:v>
                </c:pt>
                <c:pt idx="276">
                  <c:v>606.43414426000004</c:v>
                </c:pt>
                <c:pt idx="277">
                  <c:v>391.41498460000003</c:v>
                </c:pt>
                <c:pt idx="278">
                  <c:v>494.59748565199999</c:v>
                </c:pt>
                <c:pt idx="279">
                  <c:v>302.84916170700001</c:v>
                </c:pt>
                <c:pt idx="280">
                  <c:v>849.31081515000005</c:v>
                </c:pt>
                <c:pt idx="281">
                  <c:v>565.97915884500003</c:v>
                </c:pt>
                <c:pt idx="282">
                  <c:v>650.72748084600005</c:v>
                </c:pt>
                <c:pt idx="283">
                  <c:v>358.96582606300001</c:v>
                </c:pt>
                <c:pt idx="284">
                  <c:v>209.63165864799899</c:v>
                </c:pt>
                <c:pt idx="285">
                  <c:v>310.237499163</c:v>
                </c:pt>
                <c:pt idx="286">
                  <c:v>475.114995389</c:v>
                </c:pt>
                <c:pt idx="287">
                  <c:v>467.75832840599998</c:v>
                </c:pt>
                <c:pt idx="288">
                  <c:v>268.977496519</c:v>
                </c:pt>
                <c:pt idx="289">
                  <c:v>225.730821478</c:v>
                </c:pt>
                <c:pt idx="290">
                  <c:v>657.00165633300003</c:v>
                </c:pt>
                <c:pt idx="291">
                  <c:v>624.514145622</c:v>
                </c:pt>
                <c:pt idx="292">
                  <c:v>562.26081920399997</c:v>
                </c:pt>
                <c:pt idx="293">
                  <c:v>352.15166095000001</c:v>
                </c:pt>
                <c:pt idx="294">
                  <c:v>800.53748499599999</c:v>
                </c:pt>
                <c:pt idx="295">
                  <c:v>357.01832762599997</c:v>
                </c:pt>
                <c:pt idx="296">
                  <c:v>381.88915649799998</c:v>
                </c:pt>
                <c:pt idx="297">
                  <c:v>365.715817864999</c:v>
                </c:pt>
                <c:pt idx="298">
                  <c:v>320.07749730099999</c:v>
                </c:pt>
                <c:pt idx="299">
                  <c:v>425.407491908</c:v>
                </c:pt>
                <c:pt idx="300">
                  <c:v>358.64415366100002</c:v>
                </c:pt>
                <c:pt idx="301">
                  <c:v>456.65331247199998</c:v>
                </c:pt>
                <c:pt idx="302">
                  <c:v>228.444992646</c:v>
                </c:pt>
                <c:pt idx="303">
                  <c:v>552.51498627700005</c:v>
                </c:pt>
                <c:pt idx="304">
                  <c:v>365.92583198199998</c:v>
                </c:pt>
                <c:pt idx="305">
                  <c:v>626.22497734499996</c:v>
                </c:pt>
                <c:pt idx="306">
                  <c:v>430.34998858500001</c:v>
                </c:pt>
                <c:pt idx="307">
                  <c:v>319.23415737599998</c:v>
                </c:pt>
                <c:pt idx="308">
                  <c:v>382.726658074</c:v>
                </c:pt>
                <c:pt idx="309">
                  <c:v>341.55499104500001</c:v>
                </c:pt>
                <c:pt idx="310">
                  <c:v>405.726650339</c:v>
                </c:pt>
                <c:pt idx="311">
                  <c:v>299.68833365699999</c:v>
                </c:pt>
                <c:pt idx="312">
                  <c:v>223.973325238</c:v>
                </c:pt>
                <c:pt idx="313">
                  <c:v>274.45415457500002</c:v>
                </c:pt>
                <c:pt idx="314">
                  <c:v>451.41914135899998</c:v>
                </c:pt>
                <c:pt idx="315">
                  <c:v>278.07416291599998</c:v>
                </c:pt>
                <c:pt idx="316">
                  <c:v>538.291662299</c:v>
                </c:pt>
                <c:pt idx="317">
                  <c:v>358.498321263999</c:v>
                </c:pt>
                <c:pt idx="318">
                  <c:v>555.63414905499997</c:v>
                </c:pt>
                <c:pt idx="319">
                  <c:v>273.32998797900001</c:v>
                </c:pt>
                <c:pt idx="320">
                  <c:v>251.24999192499999</c:v>
                </c:pt>
                <c:pt idx="321">
                  <c:v>377.38082501299999</c:v>
                </c:pt>
                <c:pt idx="322">
                  <c:v>311.56332492399901</c:v>
                </c:pt>
                <c:pt idx="323">
                  <c:v>547.78000129700001</c:v>
                </c:pt>
                <c:pt idx="324">
                  <c:v>364.68915807299999</c:v>
                </c:pt>
                <c:pt idx="325">
                  <c:v>274.920830798</c:v>
                </c:pt>
                <c:pt idx="326">
                  <c:v>657.557500731</c:v>
                </c:pt>
                <c:pt idx="327">
                  <c:v>207.82499721400001</c:v>
                </c:pt>
                <c:pt idx="328">
                  <c:v>485.65831959399998</c:v>
                </c:pt>
                <c:pt idx="329">
                  <c:v>303.379996610999</c:v>
                </c:pt>
                <c:pt idx="330">
                  <c:v>517.93081944000005</c:v>
                </c:pt>
                <c:pt idx="331">
                  <c:v>528.91832237899996</c:v>
                </c:pt>
                <c:pt idx="332">
                  <c:v>352.00999137100001</c:v>
                </c:pt>
              </c:numCache>
            </c:numRef>
          </c:val>
          <c:extLst>
            <c:ext xmlns:c16="http://schemas.microsoft.com/office/drawing/2014/chart" uri="{C3380CC4-5D6E-409C-BE32-E72D297353CC}">
              <c16:uniqueId val="{00000000-C988-4666-9FFA-4B5E054C787D}"/>
            </c:ext>
          </c:extLst>
        </c:ser>
        <c:dLbls>
          <c:showLegendKey val="0"/>
          <c:showVal val="0"/>
          <c:showCatName val="0"/>
          <c:showSerName val="0"/>
          <c:showPercent val="0"/>
          <c:showBubbleSize val="0"/>
        </c:dLbls>
        <c:gapWidth val="150"/>
        <c:axId val="1672825040"/>
        <c:axId val="1672797200"/>
      </c:barChart>
      <c:catAx>
        <c:axId val="1672825040"/>
        <c:scaling>
          <c:orientation val="minMax"/>
        </c:scaling>
        <c:delete val="0"/>
        <c:axPos val="b"/>
        <c:title>
          <c:tx>
            <c:rich>
              <a:bodyPr rot="0" spcFirstLastPara="1" vertOverflow="ellipsis" vert="horz" wrap="square" anchor="ctr" anchorCtr="1"/>
              <a:lstStyle/>
              <a:p>
                <a:pPr>
                  <a:defRPr sz="1200" b="0" i="0" u="none" strike="noStrike" kern="1200" baseline="0">
                    <a:solidFill>
                      <a:schemeClr val="tx1">
                        <a:lumMod val="65000"/>
                        <a:lumOff val="35000"/>
                      </a:schemeClr>
                    </a:solidFill>
                    <a:latin typeface="Univers 57 Condensed" pitchFamily="50" charset="0"/>
                    <a:ea typeface="+mn-ea"/>
                    <a:cs typeface="+mn-cs"/>
                  </a:defRPr>
                </a:pPr>
                <a:r>
                  <a:rPr lang="en-US" sz="1200">
                    <a:latin typeface="Univers 57 Condensed" pitchFamily="50" charset="0"/>
                  </a:rPr>
                  <a:t>year-month</a:t>
                </a:r>
              </a:p>
            </c:rich>
          </c:tx>
          <c:overlay val="0"/>
          <c:spPr>
            <a:noFill/>
            <a:ln>
              <a:noFill/>
            </a:ln>
            <a:effectLst/>
          </c:spPr>
          <c:txPr>
            <a:bodyPr rot="0" spcFirstLastPara="1" vertOverflow="ellipsis" vert="horz" wrap="square" anchor="ctr" anchorCtr="1"/>
            <a:lstStyle/>
            <a:p>
              <a:pPr>
                <a:defRPr sz="1200" b="0" i="0" u="none" strike="noStrike" kern="1200" baseline="0">
                  <a:solidFill>
                    <a:schemeClr val="tx1">
                      <a:lumMod val="65000"/>
                      <a:lumOff val="35000"/>
                    </a:schemeClr>
                  </a:solidFill>
                  <a:latin typeface="Univers 57 Condensed" pitchFamily="50" charset="0"/>
                  <a:ea typeface="+mn-ea"/>
                  <a:cs typeface="+mn-cs"/>
                </a:defRPr>
              </a:pPr>
              <a:endParaRPr lang="en-US"/>
            </a:p>
          </c:txPr>
        </c:title>
        <c:numFmt formatCode="General" sourceLinked="1"/>
        <c:majorTickMark val="out"/>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200" b="0" i="0" u="none" strike="noStrike" kern="1200" baseline="0">
                <a:solidFill>
                  <a:schemeClr val="tx1">
                    <a:lumMod val="65000"/>
                    <a:lumOff val="35000"/>
                  </a:schemeClr>
                </a:solidFill>
                <a:latin typeface="Univers 57 Condensed" pitchFamily="50" charset="0"/>
                <a:ea typeface="+mn-ea"/>
                <a:cs typeface="+mn-cs"/>
              </a:defRPr>
            </a:pPr>
            <a:endParaRPr lang="en-US"/>
          </a:p>
        </c:txPr>
        <c:crossAx val="1672797200"/>
        <c:crosses val="autoZero"/>
        <c:auto val="1"/>
        <c:lblAlgn val="ctr"/>
        <c:lblOffset val="100"/>
        <c:noMultiLvlLbl val="0"/>
      </c:catAx>
      <c:valAx>
        <c:axId val="1672797200"/>
        <c:scaling>
          <c:orientation val="minMax"/>
        </c:scaling>
        <c:delete val="0"/>
        <c:axPos val="l"/>
        <c:majorGridlines>
          <c:spPr>
            <a:ln w="9525" cap="flat" cmpd="sng" algn="ctr">
              <a:solidFill>
                <a:schemeClr val="bg1">
                  <a:lumMod val="75000"/>
                </a:schemeClr>
              </a:solidFill>
              <a:round/>
            </a:ln>
            <a:effectLst/>
          </c:spPr>
        </c:majorGridlines>
        <c:title>
          <c:tx>
            <c:rich>
              <a:bodyPr rot="-5400000" spcFirstLastPara="1" vertOverflow="ellipsis" vert="horz" wrap="square" anchor="ctr" anchorCtr="1"/>
              <a:lstStyle/>
              <a:p>
                <a:pPr>
                  <a:defRPr sz="1200" b="0" i="0" u="none" strike="noStrike" kern="1200" baseline="0">
                    <a:solidFill>
                      <a:schemeClr val="tx1">
                        <a:lumMod val="65000"/>
                        <a:lumOff val="35000"/>
                      </a:schemeClr>
                    </a:solidFill>
                    <a:latin typeface="Univers 57 Condensed" pitchFamily="50" charset="0"/>
                    <a:ea typeface="+mn-ea"/>
                    <a:cs typeface="+mn-cs"/>
                  </a:defRPr>
                </a:pPr>
                <a:r>
                  <a:rPr lang="en-US" sz="1200">
                    <a:latin typeface="Univers 57 Condensed" pitchFamily="50" charset="0"/>
                  </a:rPr>
                  <a:t>Precipitation (mm)</a:t>
                </a:r>
              </a:p>
            </c:rich>
          </c:tx>
          <c:overlay val="0"/>
          <c:spPr>
            <a:noFill/>
            <a:ln>
              <a:noFill/>
            </a:ln>
            <a:effectLst/>
          </c:spPr>
          <c:txPr>
            <a:bodyPr rot="-5400000" spcFirstLastPara="1" vertOverflow="ellipsis" vert="horz" wrap="square" anchor="ctr" anchorCtr="1"/>
            <a:lstStyle/>
            <a:p>
              <a:pPr>
                <a:defRPr sz="1200" b="0" i="0" u="none" strike="noStrike" kern="1200" baseline="0">
                  <a:solidFill>
                    <a:schemeClr val="tx1">
                      <a:lumMod val="65000"/>
                      <a:lumOff val="35000"/>
                    </a:schemeClr>
                  </a:solidFill>
                  <a:latin typeface="Univers 57 Condensed" pitchFamily="50" charset="0"/>
                  <a:ea typeface="+mn-ea"/>
                  <a:cs typeface="+mn-cs"/>
                </a:defRPr>
              </a:pPr>
              <a:endParaRPr lang="en-US"/>
            </a:p>
          </c:txPr>
        </c:title>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1200" b="0" i="0" u="none" strike="noStrike" kern="1200" baseline="0">
                <a:solidFill>
                  <a:schemeClr val="tx1">
                    <a:lumMod val="65000"/>
                    <a:lumOff val="35000"/>
                  </a:schemeClr>
                </a:solidFill>
                <a:latin typeface="Univers 57 Condensed" pitchFamily="50" charset="0"/>
                <a:ea typeface="+mn-ea"/>
                <a:cs typeface="+mn-cs"/>
              </a:defRPr>
            </a:pPr>
            <a:endParaRPr lang="en-US"/>
          </a:p>
        </c:txPr>
        <c:crossAx val="1672825040"/>
        <c:crosses val="autoZero"/>
        <c:crossBetween val="between"/>
      </c:valAx>
      <c:spPr>
        <a:noFill/>
        <a:ln>
          <a:solidFill>
            <a:schemeClr val="bg1">
              <a:lumMod val="75000"/>
            </a:schemeClr>
          </a:solid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a:pPr>
      <a:endParaRPr lang="en-US"/>
    </a:p>
  </c:txPr>
  <c:externalData r:id="rId3">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spPr>
            <a:solidFill>
              <a:schemeClr val="accent3">
                <a:lumMod val="75000"/>
              </a:schemeClr>
            </a:solidFill>
            <a:ln w="9525" cap="flat" cmpd="sng" algn="ctr">
              <a:solidFill>
                <a:schemeClr val="bg1"/>
              </a:solidFill>
              <a:round/>
            </a:ln>
            <a:effectLst/>
          </c:spPr>
          <c:invertIfNegative val="0"/>
          <c:dLbls>
            <c:delete val="1"/>
          </c:dLbls>
          <c:cat>
            <c:numRef>
              <c:f>Pohnpei!$L$18:$L$30</c:f>
              <c:numCache>
                <c:formatCode>General</c:formatCode>
                <c:ptCount val="13"/>
                <c:pt idx="0">
                  <c:v>2013</c:v>
                </c:pt>
                <c:pt idx="1">
                  <c:v>2014</c:v>
                </c:pt>
                <c:pt idx="2">
                  <c:v>2015</c:v>
                </c:pt>
                <c:pt idx="3">
                  <c:v>2016</c:v>
                </c:pt>
                <c:pt idx="4">
                  <c:v>2017</c:v>
                </c:pt>
                <c:pt idx="5">
                  <c:v>2018</c:v>
                </c:pt>
                <c:pt idx="6">
                  <c:v>2019</c:v>
                </c:pt>
                <c:pt idx="7">
                  <c:v>2020</c:v>
                </c:pt>
                <c:pt idx="8">
                  <c:v>2021</c:v>
                </c:pt>
                <c:pt idx="9">
                  <c:v>2022</c:v>
                </c:pt>
                <c:pt idx="10">
                  <c:v>2023</c:v>
                </c:pt>
                <c:pt idx="11">
                  <c:v>2024</c:v>
                </c:pt>
                <c:pt idx="12">
                  <c:v>2025</c:v>
                </c:pt>
              </c:numCache>
            </c:numRef>
          </c:cat>
          <c:val>
            <c:numRef>
              <c:f>Pohnpei!$N$18:$N$30</c:f>
              <c:numCache>
                <c:formatCode>General</c:formatCode>
                <c:ptCount val="13"/>
                <c:pt idx="0">
                  <c:v>1282</c:v>
                </c:pt>
                <c:pt idx="1">
                  <c:v>1268</c:v>
                </c:pt>
                <c:pt idx="2">
                  <c:v>1254</c:v>
                </c:pt>
                <c:pt idx="3">
                  <c:v>1272</c:v>
                </c:pt>
                <c:pt idx="4">
                  <c:v>1271</c:v>
                </c:pt>
                <c:pt idx="5">
                  <c:v>1263</c:v>
                </c:pt>
                <c:pt idx="6">
                  <c:v>1243</c:v>
                </c:pt>
                <c:pt idx="7">
                  <c:v>1258</c:v>
                </c:pt>
                <c:pt idx="8">
                  <c:v>1234</c:v>
                </c:pt>
                <c:pt idx="9">
                  <c:v>1247</c:v>
                </c:pt>
                <c:pt idx="10">
                  <c:v>1229</c:v>
                </c:pt>
                <c:pt idx="11">
                  <c:v>1296</c:v>
                </c:pt>
                <c:pt idx="12">
                  <c:v>1291</c:v>
                </c:pt>
              </c:numCache>
            </c:numRef>
          </c:val>
          <c:extLst>
            <c:ext xmlns:c16="http://schemas.microsoft.com/office/drawing/2014/chart" uri="{C3380CC4-5D6E-409C-BE32-E72D297353CC}">
              <c16:uniqueId val="{00000000-E4F6-443D-92AA-6094A4E25B4F}"/>
            </c:ext>
          </c:extLst>
        </c:ser>
        <c:dLbls>
          <c:dLblPos val="inEnd"/>
          <c:showLegendKey val="0"/>
          <c:showVal val="1"/>
          <c:showCatName val="0"/>
          <c:showSerName val="0"/>
          <c:showPercent val="0"/>
          <c:showBubbleSize val="0"/>
        </c:dLbls>
        <c:gapWidth val="0"/>
        <c:axId val="2020192800"/>
        <c:axId val="2020199520"/>
      </c:barChart>
      <c:catAx>
        <c:axId val="2020192800"/>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dk1">
                        <a:lumMod val="75000"/>
                        <a:lumOff val="25000"/>
                      </a:schemeClr>
                    </a:solidFill>
                    <a:latin typeface="+mn-lt"/>
                    <a:ea typeface="+mn-ea"/>
                    <a:cs typeface="+mn-cs"/>
                  </a:defRPr>
                </a:pPr>
                <a:r>
                  <a:rPr lang="en-US"/>
                  <a:t>year</a:t>
                </a:r>
              </a:p>
            </c:rich>
          </c:tx>
          <c:overlay val="0"/>
          <c:spPr>
            <a:noFill/>
            <a:ln>
              <a:noFill/>
            </a:ln>
            <a:effectLst/>
          </c:spPr>
          <c:txPr>
            <a:bodyPr rot="0" spcFirstLastPara="1" vertOverflow="ellipsis" vert="horz" wrap="square" anchor="ctr" anchorCtr="1"/>
            <a:lstStyle/>
            <a:p>
              <a:pPr>
                <a:defRPr sz="900" b="1" i="0" u="none" strike="noStrike" kern="1200" baseline="0">
                  <a:solidFill>
                    <a:schemeClr val="dk1">
                      <a:lumMod val="75000"/>
                      <a:lumOff val="25000"/>
                    </a:schemeClr>
                  </a:solidFill>
                  <a:latin typeface="+mn-lt"/>
                  <a:ea typeface="+mn-ea"/>
                  <a:cs typeface="+mn-cs"/>
                </a:defRPr>
              </a:pPr>
              <a:endParaRPr lang="en-US"/>
            </a:p>
          </c:txPr>
        </c:title>
        <c:numFmt formatCode="General" sourceLinked="1"/>
        <c:majorTickMark val="none"/>
        <c:minorTickMark val="none"/>
        <c:tickLblPos val="nextTo"/>
        <c:spPr>
          <a:noFill/>
          <a:ln w="19050" cap="flat" cmpd="sng" algn="ctr">
            <a:solidFill>
              <a:schemeClr val="dk1">
                <a:lumMod val="75000"/>
                <a:lumOff val="25000"/>
              </a:schemeClr>
            </a:solidFill>
            <a:round/>
          </a:ln>
          <a:effectLst/>
        </c:spPr>
        <c:txPr>
          <a:bodyPr rot="-60000000" spcFirstLastPara="1" vertOverflow="ellipsis" vert="horz" wrap="square" anchor="ctr" anchorCtr="1"/>
          <a:lstStyle/>
          <a:p>
            <a:pPr>
              <a:defRPr sz="1200" b="0" i="0" u="none" strike="noStrike" kern="1200" cap="all" baseline="0">
                <a:solidFill>
                  <a:schemeClr val="tx1"/>
                </a:solidFill>
                <a:latin typeface="Univers 57 Condensed" pitchFamily="50" charset="0"/>
                <a:ea typeface="+mn-ea"/>
                <a:cs typeface="+mn-cs"/>
              </a:defRPr>
            </a:pPr>
            <a:endParaRPr lang="en-US"/>
          </a:p>
        </c:txPr>
        <c:crossAx val="2020199520"/>
        <c:crosses val="autoZero"/>
        <c:auto val="1"/>
        <c:lblAlgn val="ctr"/>
        <c:lblOffset val="100"/>
        <c:noMultiLvlLbl val="0"/>
      </c:catAx>
      <c:valAx>
        <c:axId val="2020199520"/>
        <c:scaling>
          <c:orientation val="minMax"/>
          <c:max val="1300"/>
          <c:min val="1000"/>
        </c:scaling>
        <c:delete val="0"/>
        <c:axPos val="l"/>
        <c:majorGridlines>
          <c:spPr>
            <a:ln w="9525" cap="flat" cmpd="sng" algn="ctr">
              <a:gradFill>
                <a:gsLst>
                  <a:gs pos="100000">
                    <a:schemeClr val="dk1">
                      <a:lumMod val="95000"/>
                      <a:lumOff val="5000"/>
                      <a:alpha val="42000"/>
                    </a:schemeClr>
                  </a:gs>
                  <a:gs pos="0">
                    <a:schemeClr val="lt1">
                      <a:lumMod val="75000"/>
                      <a:alpha val="36000"/>
                    </a:schemeClr>
                  </a:gs>
                </a:gsLst>
                <a:lin ang="5400000" scaled="0"/>
              </a:gradFill>
              <a:round/>
            </a:ln>
            <a:effectLst/>
          </c:spPr>
        </c:majorGridlines>
        <c:title>
          <c:tx>
            <c:rich>
              <a:bodyPr rot="-5400000" spcFirstLastPara="1" vertOverflow="ellipsis" vert="horz" wrap="square" anchor="ctr" anchorCtr="1"/>
              <a:lstStyle/>
              <a:p>
                <a:pPr>
                  <a:defRPr sz="1200" b="1" i="0" u="none" strike="noStrike" kern="1200" baseline="0">
                    <a:solidFill>
                      <a:schemeClr val="tx1"/>
                    </a:solidFill>
                    <a:latin typeface="Univers 57 Condensed" pitchFamily="50" charset="0"/>
                    <a:ea typeface="+mn-ea"/>
                    <a:cs typeface="+mn-cs"/>
                  </a:defRPr>
                </a:pPr>
                <a:r>
                  <a:rPr lang="en-US" sz="1200">
                    <a:solidFill>
                      <a:schemeClr val="tx1"/>
                    </a:solidFill>
                    <a:latin typeface="Univers 57 Condensed" pitchFamily="50" charset="0"/>
                  </a:rPr>
                  <a:t>ETa</a:t>
                </a:r>
                <a:r>
                  <a:rPr lang="en-US" sz="1200" baseline="0">
                    <a:solidFill>
                      <a:schemeClr val="tx1"/>
                    </a:solidFill>
                    <a:latin typeface="Univers 57 Condensed" pitchFamily="50" charset="0"/>
                  </a:rPr>
                  <a:t> </a:t>
                </a:r>
                <a:r>
                  <a:rPr lang="en-US" sz="1200">
                    <a:solidFill>
                      <a:schemeClr val="tx1"/>
                    </a:solidFill>
                    <a:latin typeface="Univers 57 Condensed" pitchFamily="50" charset="0"/>
                  </a:rPr>
                  <a:t>(mm)</a:t>
                </a:r>
              </a:p>
            </c:rich>
          </c:tx>
          <c:overlay val="0"/>
          <c:spPr>
            <a:noFill/>
            <a:ln>
              <a:noFill/>
            </a:ln>
            <a:effectLst/>
          </c:spPr>
          <c:txPr>
            <a:bodyPr rot="-5400000" spcFirstLastPara="1" vertOverflow="ellipsis" vert="horz" wrap="square" anchor="ctr" anchorCtr="1"/>
            <a:lstStyle/>
            <a:p>
              <a:pPr>
                <a:defRPr sz="1200" b="1" i="0" u="none" strike="noStrike" kern="1200" baseline="0">
                  <a:solidFill>
                    <a:schemeClr val="tx1"/>
                  </a:solidFill>
                  <a:latin typeface="Univers 57 Condensed" pitchFamily="50" charset="0"/>
                  <a:ea typeface="+mn-ea"/>
                  <a:cs typeface="+mn-cs"/>
                </a:defRPr>
              </a:pPr>
              <a:endParaRPr lang="en-US"/>
            </a:p>
          </c:txPr>
        </c:title>
        <c:numFmt formatCode="General" sourceLinked="1"/>
        <c:majorTickMark val="out"/>
        <c:minorTickMark val="none"/>
        <c:tickLblPos val="nextTo"/>
        <c:spPr>
          <a:noFill/>
          <a:ln>
            <a:noFill/>
          </a:ln>
          <a:effectLst/>
        </c:spPr>
        <c:txPr>
          <a:bodyPr rot="-60000000" spcFirstLastPara="1" vertOverflow="ellipsis" vert="horz" wrap="square" anchor="ctr" anchorCtr="1"/>
          <a:lstStyle/>
          <a:p>
            <a:pPr>
              <a:defRPr sz="1200" b="0" i="0" u="none" strike="noStrike" kern="1200" baseline="0">
                <a:solidFill>
                  <a:schemeClr val="tx1"/>
                </a:solidFill>
                <a:latin typeface="Univers 57 Condensed" pitchFamily="50" charset="0"/>
                <a:ea typeface="+mn-ea"/>
                <a:cs typeface="+mn-cs"/>
              </a:defRPr>
            </a:pPr>
            <a:endParaRPr lang="en-US"/>
          </a:p>
        </c:txPr>
        <c:crossAx val="2020192800"/>
        <c:crosses val="autoZero"/>
        <c:crossBetween val="between"/>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a:pPr>
      <a:endParaRPr lang="en-US"/>
    </a:p>
  </c:txPr>
  <c:externalData r:id="rId3">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spPr>
            <a:solidFill>
              <a:schemeClr val="tx2"/>
            </a:solidFill>
            <a:ln>
              <a:noFill/>
            </a:ln>
            <a:effectLst/>
          </c:spPr>
          <c:invertIfNegative val="0"/>
          <c:cat>
            <c:strRef>
              <c:f>Pohnpei!$A$172:$A$335</c:f>
              <c:strCache>
                <c:ptCount val="164"/>
                <c:pt idx="0">
                  <c:v>2012-02</c:v>
                </c:pt>
                <c:pt idx="1">
                  <c:v>2012-03</c:v>
                </c:pt>
                <c:pt idx="2">
                  <c:v>2012-04</c:v>
                </c:pt>
                <c:pt idx="3">
                  <c:v>2012-05</c:v>
                </c:pt>
                <c:pt idx="4">
                  <c:v>2012-06</c:v>
                </c:pt>
                <c:pt idx="5">
                  <c:v>2012-07</c:v>
                </c:pt>
                <c:pt idx="6">
                  <c:v>2012-08</c:v>
                </c:pt>
                <c:pt idx="7">
                  <c:v>2012-09</c:v>
                </c:pt>
                <c:pt idx="8">
                  <c:v>2012-10</c:v>
                </c:pt>
                <c:pt idx="9">
                  <c:v>2012-11</c:v>
                </c:pt>
                <c:pt idx="10">
                  <c:v>2012-12</c:v>
                </c:pt>
                <c:pt idx="11">
                  <c:v>2013-01</c:v>
                </c:pt>
                <c:pt idx="12">
                  <c:v>2013-02</c:v>
                </c:pt>
                <c:pt idx="13">
                  <c:v>2013-03</c:v>
                </c:pt>
                <c:pt idx="14">
                  <c:v>2013-04</c:v>
                </c:pt>
                <c:pt idx="15">
                  <c:v>2013-05</c:v>
                </c:pt>
                <c:pt idx="16">
                  <c:v>2013-06</c:v>
                </c:pt>
                <c:pt idx="17">
                  <c:v>2013-07</c:v>
                </c:pt>
                <c:pt idx="18">
                  <c:v>2013-08</c:v>
                </c:pt>
                <c:pt idx="19">
                  <c:v>2013-09</c:v>
                </c:pt>
                <c:pt idx="20">
                  <c:v>2013-10</c:v>
                </c:pt>
                <c:pt idx="21">
                  <c:v>2013-11</c:v>
                </c:pt>
                <c:pt idx="22">
                  <c:v>2013-12</c:v>
                </c:pt>
                <c:pt idx="23">
                  <c:v>2014-01</c:v>
                </c:pt>
                <c:pt idx="24">
                  <c:v>2014-02</c:v>
                </c:pt>
                <c:pt idx="25">
                  <c:v>2014-03</c:v>
                </c:pt>
                <c:pt idx="26">
                  <c:v>2014-04</c:v>
                </c:pt>
                <c:pt idx="27">
                  <c:v>2014-05</c:v>
                </c:pt>
                <c:pt idx="28">
                  <c:v>2014-06</c:v>
                </c:pt>
                <c:pt idx="29">
                  <c:v>2014-07</c:v>
                </c:pt>
                <c:pt idx="30">
                  <c:v>2014-08</c:v>
                </c:pt>
                <c:pt idx="31">
                  <c:v>2014-09</c:v>
                </c:pt>
                <c:pt idx="32">
                  <c:v>2014-10</c:v>
                </c:pt>
                <c:pt idx="33">
                  <c:v>2014-11</c:v>
                </c:pt>
                <c:pt idx="34">
                  <c:v>2014-12</c:v>
                </c:pt>
                <c:pt idx="35">
                  <c:v>2015-01</c:v>
                </c:pt>
                <c:pt idx="36">
                  <c:v>2015-02</c:v>
                </c:pt>
                <c:pt idx="37">
                  <c:v>2015-03</c:v>
                </c:pt>
                <c:pt idx="38">
                  <c:v>2015-04</c:v>
                </c:pt>
                <c:pt idx="39">
                  <c:v>2015-05</c:v>
                </c:pt>
                <c:pt idx="40">
                  <c:v>2015-06</c:v>
                </c:pt>
                <c:pt idx="41">
                  <c:v>2015-07</c:v>
                </c:pt>
                <c:pt idx="42">
                  <c:v>2015-08</c:v>
                </c:pt>
                <c:pt idx="43">
                  <c:v>2015-09</c:v>
                </c:pt>
                <c:pt idx="44">
                  <c:v>2015-10</c:v>
                </c:pt>
                <c:pt idx="45">
                  <c:v>2015-11</c:v>
                </c:pt>
                <c:pt idx="46">
                  <c:v>2015-12</c:v>
                </c:pt>
                <c:pt idx="47">
                  <c:v>2016-01</c:v>
                </c:pt>
                <c:pt idx="48">
                  <c:v>2016-02</c:v>
                </c:pt>
                <c:pt idx="49">
                  <c:v>2016-03</c:v>
                </c:pt>
                <c:pt idx="50">
                  <c:v>2016-04</c:v>
                </c:pt>
                <c:pt idx="51">
                  <c:v>2016-05</c:v>
                </c:pt>
                <c:pt idx="52">
                  <c:v>2016-06</c:v>
                </c:pt>
                <c:pt idx="53">
                  <c:v>2016-07</c:v>
                </c:pt>
                <c:pt idx="54">
                  <c:v>2016-08</c:v>
                </c:pt>
                <c:pt idx="55">
                  <c:v>2016-09</c:v>
                </c:pt>
                <c:pt idx="56">
                  <c:v>2016-10</c:v>
                </c:pt>
                <c:pt idx="57">
                  <c:v>2016-11</c:v>
                </c:pt>
                <c:pt idx="58">
                  <c:v>2016-12</c:v>
                </c:pt>
                <c:pt idx="59">
                  <c:v>2017-01</c:v>
                </c:pt>
                <c:pt idx="60">
                  <c:v>2017-02</c:v>
                </c:pt>
                <c:pt idx="61">
                  <c:v>2017-03</c:v>
                </c:pt>
                <c:pt idx="62">
                  <c:v>2017-04</c:v>
                </c:pt>
                <c:pt idx="63">
                  <c:v>2017-05</c:v>
                </c:pt>
                <c:pt idx="64">
                  <c:v>2017-06</c:v>
                </c:pt>
                <c:pt idx="65">
                  <c:v>2017-07</c:v>
                </c:pt>
                <c:pt idx="66">
                  <c:v>2017-08</c:v>
                </c:pt>
                <c:pt idx="67">
                  <c:v>2017-09</c:v>
                </c:pt>
                <c:pt idx="68">
                  <c:v>2017-10</c:v>
                </c:pt>
                <c:pt idx="69">
                  <c:v>2017-11</c:v>
                </c:pt>
                <c:pt idx="70">
                  <c:v>2017-12</c:v>
                </c:pt>
                <c:pt idx="71">
                  <c:v>2018-01</c:v>
                </c:pt>
                <c:pt idx="72">
                  <c:v>2018-02</c:v>
                </c:pt>
                <c:pt idx="73">
                  <c:v>2018-03</c:v>
                </c:pt>
                <c:pt idx="74">
                  <c:v>2018-04</c:v>
                </c:pt>
                <c:pt idx="75">
                  <c:v>2018-05</c:v>
                </c:pt>
                <c:pt idx="76">
                  <c:v>2018-06</c:v>
                </c:pt>
                <c:pt idx="77">
                  <c:v>2018-07</c:v>
                </c:pt>
                <c:pt idx="78">
                  <c:v>2018-08</c:v>
                </c:pt>
                <c:pt idx="79">
                  <c:v>2018-09</c:v>
                </c:pt>
                <c:pt idx="80">
                  <c:v>2018-10</c:v>
                </c:pt>
                <c:pt idx="81">
                  <c:v>2018-11</c:v>
                </c:pt>
                <c:pt idx="82">
                  <c:v>2018-12</c:v>
                </c:pt>
                <c:pt idx="83">
                  <c:v>2019-01</c:v>
                </c:pt>
                <c:pt idx="84">
                  <c:v>2019-02</c:v>
                </c:pt>
                <c:pt idx="85">
                  <c:v>2019-03</c:v>
                </c:pt>
                <c:pt idx="86">
                  <c:v>2019-04</c:v>
                </c:pt>
                <c:pt idx="87">
                  <c:v>2019-05</c:v>
                </c:pt>
                <c:pt idx="88">
                  <c:v>2019-06</c:v>
                </c:pt>
                <c:pt idx="89">
                  <c:v>2019-07</c:v>
                </c:pt>
                <c:pt idx="90">
                  <c:v>2019-08</c:v>
                </c:pt>
                <c:pt idx="91">
                  <c:v>2019-09</c:v>
                </c:pt>
                <c:pt idx="92">
                  <c:v>2019-10</c:v>
                </c:pt>
                <c:pt idx="93">
                  <c:v>2019-11</c:v>
                </c:pt>
                <c:pt idx="94">
                  <c:v>2019-12</c:v>
                </c:pt>
                <c:pt idx="95">
                  <c:v>2020-01</c:v>
                </c:pt>
                <c:pt idx="96">
                  <c:v>2020-02</c:v>
                </c:pt>
                <c:pt idx="97">
                  <c:v>2020-03</c:v>
                </c:pt>
                <c:pt idx="98">
                  <c:v>2020-04</c:v>
                </c:pt>
                <c:pt idx="99">
                  <c:v>2020-05</c:v>
                </c:pt>
                <c:pt idx="100">
                  <c:v>2020-06</c:v>
                </c:pt>
                <c:pt idx="101">
                  <c:v>2020-07</c:v>
                </c:pt>
                <c:pt idx="102">
                  <c:v>2020-08</c:v>
                </c:pt>
                <c:pt idx="103">
                  <c:v>2020-09</c:v>
                </c:pt>
                <c:pt idx="104">
                  <c:v>2020-10</c:v>
                </c:pt>
                <c:pt idx="105">
                  <c:v>2020-11</c:v>
                </c:pt>
                <c:pt idx="106">
                  <c:v>2020-12</c:v>
                </c:pt>
                <c:pt idx="107">
                  <c:v>2021-01</c:v>
                </c:pt>
                <c:pt idx="108">
                  <c:v>2021-02</c:v>
                </c:pt>
                <c:pt idx="109">
                  <c:v>2021-03</c:v>
                </c:pt>
                <c:pt idx="110">
                  <c:v>2021-04</c:v>
                </c:pt>
                <c:pt idx="111">
                  <c:v>2021-05</c:v>
                </c:pt>
                <c:pt idx="112">
                  <c:v>2021-06</c:v>
                </c:pt>
                <c:pt idx="113">
                  <c:v>2021-07</c:v>
                </c:pt>
                <c:pt idx="114">
                  <c:v>2021-08</c:v>
                </c:pt>
                <c:pt idx="115">
                  <c:v>2021-09</c:v>
                </c:pt>
                <c:pt idx="116">
                  <c:v>2021-10</c:v>
                </c:pt>
                <c:pt idx="117">
                  <c:v>2021-11</c:v>
                </c:pt>
                <c:pt idx="118">
                  <c:v>2021-12</c:v>
                </c:pt>
                <c:pt idx="119">
                  <c:v>2022-01</c:v>
                </c:pt>
                <c:pt idx="120">
                  <c:v>2022-02</c:v>
                </c:pt>
                <c:pt idx="121">
                  <c:v>2022-03</c:v>
                </c:pt>
                <c:pt idx="122">
                  <c:v>2022-04</c:v>
                </c:pt>
                <c:pt idx="123">
                  <c:v>2022-05</c:v>
                </c:pt>
                <c:pt idx="124">
                  <c:v>2022-06</c:v>
                </c:pt>
                <c:pt idx="125">
                  <c:v>2022-07</c:v>
                </c:pt>
                <c:pt idx="126">
                  <c:v>2022-08</c:v>
                </c:pt>
                <c:pt idx="127">
                  <c:v>2022-09</c:v>
                </c:pt>
                <c:pt idx="128">
                  <c:v>2022-10</c:v>
                </c:pt>
                <c:pt idx="129">
                  <c:v>2022-11</c:v>
                </c:pt>
                <c:pt idx="130">
                  <c:v>2022-12</c:v>
                </c:pt>
                <c:pt idx="131">
                  <c:v>2023-01</c:v>
                </c:pt>
                <c:pt idx="132">
                  <c:v>2023-02</c:v>
                </c:pt>
                <c:pt idx="133">
                  <c:v>2023-03</c:v>
                </c:pt>
                <c:pt idx="134">
                  <c:v>2023-04</c:v>
                </c:pt>
                <c:pt idx="135">
                  <c:v>2023-05</c:v>
                </c:pt>
                <c:pt idx="136">
                  <c:v>2023-06</c:v>
                </c:pt>
                <c:pt idx="137">
                  <c:v>2023-07</c:v>
                </c:pt>
                <c:pt idx="138">
                  <c:v>2023-08</c:v>
                </c:pt>
                <c:pt idx="139">
                  <c:v>2023-09</c:v>
                </c:pt>
                <c:pt idx="140">
                  <c:v>2023-10</c:v>
                </c:pt>
                <c:pt idx="141">
                  <c:v>2023-11</c:v>
                </c:pt>
                <c:pt idx="142">
                  <c:v>2023-12</c:v>
                </c:pt>
                <c:pt idx="143">
                  <c:v>2024-01</c:v>
                </c:pt>
                <c:pt idx="144">
                  <c:v>2024-02</c:v>
                </c:pt>
                <c:pt idx="145">
                  <c:v>2024-03</c:v>
                </c:pt>
                <c:pt idx="146">
                  <c:v>2024-04</c:v>
                </c:pt>
                <c:pt idx="147">
                  <c:v>2024-05</c:v>
                </c:pt>
                <c:pt idx="148">
                  <c:v>2024-06</c:v>
                </c:pt>
                <c:pt idx="149">
                  <c:v>2024-07</c:v>
                </c:pt>
                <c:pt idx="150">
                  <c:v>2024-08</c:v>
                </c:pt>
                <c:pt idx="151">
                  <c:v>2024-09</c:v>
                </c:pt>
                <c:pt idx="152">
                  <c:v>2024-10</c:v>
                </c:pt>
                <c:pt idx="153">
                  <c:v>2024-11</c:v>
                </c:pt>
                <c:pt idx="154">
                  <c:v>2024-12</c:v>
                </c:pt>
                <c:pt idx="155">
                  <c:v>2025-01</c:v>
                </c:pt>
                <c:pt idx="156">
                  <c:v>2025-02</c:v>
                </c:pt>
                <c:pt idx="157">
                  <c:v>2025-03</c:v>
                </c:pt>
                <c:pt idx="158">
                  <c:v>2025-04</c:v>
                </c:pt>
                <c:pt idx="159">
                  <c:v>2025-05</c:v>
                </c:pt>
                <c:pt idx="160">
                  <c:v>2025-06</c:v>
                </c:pt>
                <c:pt idx="161">
                  <c:v>2025-07</c:v>
                </c:pt>
                <c:pt idx="162">
                  <c:v>2025-08</c:v>
                </c:pt>
                <c:pt idx="163">
                  <c:v>2025-09</c:v>
                </c:pt>
              </c:strCache>
            </c:strRef>
          </c:cat>
          <c:val>
            <c:numRef>
              <c:f>Pohnpei!$F$172:$F$335</c:f>
              <c:numCache>
                <c:formatCode>0.00</c:formatCode>
                <c:ptCount val="164"/>
                <c:pt idx="0">
                  <c:v>193.78796630174091</c:v>
                </c:pt>
                <c:pt idx="1">
                  <c:v>-8.766639863959</c:v>
                </c:pt>
                <c:pt idx="2">
                  <c:v>-7.1624203118860095</c:v>
                </c:pt>
                <c:pt idx="3">
                  <c:v>315.08593695381001</c:v>
                </c:pt>
                <c:pt idx="4">
                  <c:v>198.30264701891701</c:v>
                </c:pt>
                <c:pt idx="5">
                  <c:v>269.92267927282302</c:v>
                </c:pt>
                <c:pt idx="6">
                  <c:v>201.67307855776099</c:v>
                </c:pt>
                <c:pt idx="7">
                  <c:v>156.59043713982697</c:v>
                </c:pt>
                <c:pt idx="8">
                  <c:v>129.29481191182498</c:v>
                </c:pt>
                <c:pt idx="9">
                  <c:v>133.95901753194011</c:v>
                </c:pt>
                <c:pt idx="10">
                  <c:v>59.243739515022</c:v>
                </c:pt>
                <c:pt idx="11">
                  <c:v>52.626937898491008</c:v>
                </c:pt>
                <c:pt idx="12">
                  <c:v>56.488359725695986</c:v>
                </c:pt>
                <c:pt idx="13">
                  <c:v>33.95647962804199</c:v>
                </c:pt>
                <c:pt idx="14">
                  <c:v>162.79698301202603</c:v>
                </c:pt>
                <c:pt idx="15">
                  <c:v>23.531172722201987</c:v>
                </c:pt>
                <c:pt idx="16">
                  <c:v>143.02532692311001</c:v>
                </c:pt>
                <c:pt idx="17">
                  <c:v>133.40576686327199</c:v>
                </c:pt>
                <c:pt idx="18">
                  <c:v>65.770665016218985</c:v>
                </c:pt>
                <c:pt idx="19">
                  <c:v>209.51209527670801</c:v>
                </c:pt>
                <c:pt idx="20">
                  <c:v>259.47195328843901</c:v>
                </c:pt>
                <c:pt idx="21">
                  <c:v>306.28494193512847</c:v>
                </c:pt>
                <c:pt idx="22">
                  <c:v>-13.166178645192701</c:v>
                </c:pt>
                <c:pt idx="23">
                  <c:v>115.427000067647</c:v>
                </c:pt>
                <c:pt idx="24">
                  <c:v>224.27775001232339</c:v>
                </c:pt>
                <c:pt idx="25">
                  <c:v>81.332967322413992</c:v>
                </c:pt>
                <c:pt idx="26">
                  <c:v>81.911518667612995</c:v>
                </c:pt>
                <c:pt idx="27">
                  <c:v>103.78600093766299</c:v>
                </c:pt>
                <c:pt idx="28">
                  <c:v>148.08365849623601</c:v>
                </c:pt>
                <c:pt idx="29">
                  <c:v>440.28845184775895</c:v>
                </c:pt>
                <c:pt idx="30">
                  <c:v>115.735716410065</c:v>
                </c:pt>
                <c:pt idx="31">
                  <c:v>264.50133381173902</c:v>
                </c:pt>
                <c:pt idx="32">
                  <c:v>353.40882564344599</c:v>
                </c:pt>
                <c:pt idx="33">
                  <c:v>187.43245498411136</c:v>
                </c:pt>
                <c:pt idx="34">
                  <c:v>165.3690899920793</c:v>
                </c:pt>
                <c:pt idx="35">
                  <c:v>99.955750000651008</c:v>
                </c:pt>
                <c:pt idx="36">
                  <c:v>81.578803119177991</c:v>
                </c:pt>
                <c:pt idx="37">
                  <c:v>312.60206149779503</c:v>
                </c:pt>
                <c:pt idx="38">
                  <c:v>300.97166100720199</c:v>
                </c:pt>
                <c:pt idx="39">
                  <c:v>488.75142144554201</c:v>
                </c:pt>
                <c:pt idx="40">
                  <c:v>207.49092473916301</c:v>
                </c:pt>
                <c:pt idx="41">
                  <c:v>315.56673387235799</c:v>
                </c:pt>
                <c:pt idx="42">
                  <c:v>272.95195062211201</c:v>
                </c:pt>
                <c:pt idx="43">
                  <c:v>217.96359797005357</c:v>
                </c:pt>
                <c:pt idx="44">
                  <c:v>115.817018258941</c:v>
                </c:pt>
                <c:pt idx="45">
                  <c:v>6.499303222186299</c:v>
                </c:pt>
                <c:pt idx="46">
                  <c:v>55.702260207632889</c:v>
                </c:pt>
                <c:pt idx="47">
                  <c:v>136.229360002335</c:v>
                </c:pt>
                <c:pt idx="48">
                  <c:v>-121.87054727202901</c:v>
                </c:pt>
                <c:pt idx="49">
                  <c:v>-49.855311316169008</c:v>
                </c:pt>
                <c:pt idx="50">
                  <c:v>-10.918636505976011</c:v>
                </c:pt>
                <c:pt idx="51">
                  <c:v>140.388470309068</c:v>
                </c:pt>
                <c:pt idx="52">
                  <c:v>205.21675245430697</c:v>
                </c:pt>
                <c:pt idx="53">
                  <c:v>138.00386931134301</c:v>
                </c:pt>
                <c:pt idx="54">
                  <c:v>124.78082693111801</c:v>
                </c:pt>
                <c:pt idx="55">
                  <c:v>221.84276444827199</c:v>
                </c:pt>
                <c:pt idx="56">
                  <c:v>233.30297860969898</c:v>
                </c:pt>
                <c:pt idx="57">
                  <c:v>195.98195963608569</c:v>
                </c:pt>
                <c:pt idx="58">
                  <c:v>219.1498684316617</c:v>
                </c:pt>
                <c:pt idx="59">
                  <c:v>215.592042626536</c:v>
                </c:pt>
                <c:pt idx="60">
                  <c:v>12.768856835713109</c:v>
                </c:pt>
                <c:pt idx="61">
                  <c:v>135.79037830930901</c:v>
                </c:pt>
                <c:pt idx="62">
                  <c:v>210.78095025545696</c:v>
                </c:pt>
                <c:pt idx="63">
                  <c:v>165.075013232949</c:v>
                </c:pt>
                <c:pt idx="64">
                  <c:v>309.080351740688</c:v>
                </c:pt>
                <c:pt idx="65">
                  <c:v>175.30973423702198</c:v>
                </c:pt>
                <c:pt idx="66">
                  <c:v>54.035446769792998</c:v>
                </c:pt>
                <c:pt idx="67">
                  <c:v>162.25789684092098</c:v>
                </c:pt>
                <c:pt idx="68">
                  <c:v>207.13248954201799</c:v>
                </c:pt>
                <c:pt idx="69">
                  <c:v>266.98402677058698</c:v>
                </c:pt>
                <c:pt idx="70">
                  <c:v>227.47181940147101</c:v>
                </c:pt>
                <c:pt idx="71">
                  <c:v>227.38630845515297</c:v>
                </c:pt>
                <c:pt idx="72">
                  <c:v>127.780124217666</c:v>
                </c:pt>
                <c:pt idx="73">
                  <c:v>539.79214866023608</c:v>
                </c:pt>
                <c:pt idx="74">
                  <c:v>197.45614906923601</c:v>
                </c:pt>
                <c:pt idx="75">
                  <c:v>320.67360355235598</c:v>
                </c:pt>
                <c:pt idx="76">
                  <c:v>189.86794438912</c:v>
                </c:pt>
                <c:pt idx="77">
                  <c:v>458.876629665287</c:v>
                </c:pt>
                <c:pt idx="78">
                  <c:v>381.72534808704097</c:v>
                </c:pt>
                <c:pt idx="79">
                  <c:v>238.46659679137298</c:v>
                </c:pt>
                <c:pt idx="80">
                  <c:v>188.844214989737</c:v>
                </c:pt>
                <c:pt idx="81">
                  <c:v>82.301456568102793</c:v>
                </c:pt>
                <c:pt idx="82">
                  <c:v>144.8238667603427</c:v>
                </c:pt>
                <c:pt idx="83">
                  <c:v>310.80353502555249</c:v>
                </c:pt>
                <c:pt idx="84">
                  <c:v>69.612412367558903</c:v>
                </c:pt>
                <c:pt idx="85">
                  <c:v>133.761860348688</c:v>
                </c:pt>
                <c:pt idx="86">
                  <c:v>48.641434320163</c:v>
                </c:pt>
                <c:pt idx="87">
                  <c:v>70.874014482958003</c:v>
                </c:pt>
                <c:pt idx="88">
                  <c:v>225.395884343636</c:v>
                </c:pt>
                <c:pt idx="89">
                  <c:v>215.84165018391599</c:v>
                </c:pt>
                <c:pt idx="90">
                  <c:v>367.64166838083997</c:v>
                </c:pt>
                <c:pt idx="91">
                  <c:v>189.40506020682099</c:v>
                </c:pt>
                <c:pt idx="92">
                  <c:v>255.79249168766398</c:v>
                </c:pt>
                <c:pt idx="93">
                  <c:v>387.35625534162534</c:v>
                </c:pt>
                <c:pt idx="94">
                  <c:v>236.14403171256112</c:v>
                </c:pt>
                <c:pt idx="95">
                  <c:v>-5.5301369563040055</c:v>
                </c:pt>
                <c:pt idx="96">
                  <c:v>-10.718065440492495</c:v>
                </c:pt>
                <c:pt idx="97">
                  <c:v>-46.905142997622988</c:v>
                </c:pt>
                <c:pt idx="98">
                  <c:v>207.71734345473098</c:v>
                </c:pt>
                <c:pt idx="99">
                  <c:v>468.98025641695295</c:v>
                </c:pt>
                <c:pt idx="100">
                  <c:v>180.92925291830699</c:v>
                </c:pt>
                <c:pt idx="101">
                  <c:v>78.099800620186997</c:v>
                </c:pt>
                <c:pt idx="102">
                  <c:v>147.82905838382902</c:v>
                </c:pt>
                <c:pt idx="103">
                  <c:v>192.42217274052101</c:v>
                </c:pt>
                <c:pt idx="104">
                  <c:v>414.63756655579505</c:v>
                </c:pt>
                <c:pt idx="105">
                  <c:v>490.29263948058895</c:v>
                </c:pt>
                <c:pt idx="106">
                  <c:v>363.20091776584371</c:v>
                </c:pt>
                <c:pt idx="107">
                  <c:v>55.231537339569599</c:v>
                </c:pt>
                <c:pt idx="108">
                  <c:v>-8.6706742545460003</c:v>
                </c:pt>
                <c:pt idx="109">
                  <c:v>380.94783863873903</c:v>
                </c:pt>
                <c:pt idx="110">
                  <c:v>222.45853246022497</c:v>
                </c:pt>
                <c:pt idx="111">
                  <c:v>387.93977091959198</c:v>
                </c:pt>
                <c:pt idx="112">
                  <c:v>178.98547380105202</c:v>
                </c:pt>
                <c:pt idx="113">
                  <c:v>313.15041034988701</c:v>
                </c:pt>
                <c:pt idx="114">
                  <c:v>158.97104661520001</c:v>
                </c:pt>
                <c:pt idx="115">
                  <c:v>301.81353811420001</c:v>
                </c:pt>
                <c:pt idx="116">
                  <c:v>268.503180711487</c:v>
                </c:pt>
                <c:pt idx="117">
                  <c:v>251.93200364130197</c:v>
                </c:pt>
                <c:pt idx="118">
                  <c:v>102.75114531793369</c:v>
                </c:pt>
                <c:pt idx="119">
                  <c:v>32.852448879793002</c:v>
                </c:pt>
                <c:pt idx="120">
                  <c:v>157.350778941893</c:v>
                </c:pt>
                <c:pt idx="121">
                  <c:v>359.97129966385103</c:v>
                </c:pt>
                <c:pt idx="122">
                  <c:v>317.70014327158901</c:v>
                </c:pt>
                <c:pt idx="123">
                  <c:v>284.26477092491012</c:v>
                </c:pt>
                <c:pt idx="124">
                  <c:v>138.60674457165101</c:v>
                </c:pt>
                <c:pt idx="125">
                  <c:v>412.44267193885696</c:v>
                </c:pt>
                <c:pt idx="126">
                  <c:v>377.91882823709301</c:v>
                </c:pt>
                <c:pt idx="127">
                  <c:v>324.22493165681806</c:v>
                </c:pt>
                <c:pt idx="128">
                  <c:v>418.83818473179701</c:v>
                </c:pt>
                <c:pt idx="129">
                  <c:v>178.1472373253491</c:v>
                </c:pt>
                <c:pt idx="130">
                  <c:v>155.02667523817561</c:v>
                </c:pt>
                <c:pt idx="131">
                  <c:v>74.460921844524691</c:v>
                </c:pt>
                <c:pt idx="132">
                  <c:v>93.33487843065312</c:v>
                </c:pt>
                <c:pt idx="133">
                  <c:v>76.217788547221005</c:v>
                </c:pt>
                <c:pt idx="134">
                  <c:v>278.417263793953</c:v>
                </c:pt>
                <c:pt idx="135">
                  <c:v>287.21608972041548</c:v>
                </c:pt>
                <c:pt idx="136">
                  <c:v>329.63302103591502</c:v>
                </c:pt>
                <c:pt idx="137">
                  <c:v>207.214610969684</c:v>
                </c:pt>
                <c:pt idx="138">
                  <c:v>306.78224663432297</c:v>
                </c:pt>
                <c:pt idx="139">
                  <c:v>318.96779342552298</c:v>
                </c:pt>
                <c:pt idx="140">
                  <c:v>314.81541690984398</c:v>
                </c:pt>
                <c:pt idx="141">
                  <c:v>329.93796732006001</c:v>
                </c:pt>
                <c:pt idx="142">
                  <c:v>18.138215234754</c:v>
                </c:pt>
                <c:pt idx="143">
                  <c:v>-14.902940106498008</c:v>
                </c:pt>
                <c:pt idx="144">
                  <c:v>131.33909645772599</c:v>
                </c:pt>
                <c:pt idx="145">
                  <c:v>64.94006682548401</c:v>
                </c:pt>
                <c:pt idx="146">
                  <c:v>331.22194337379301</c:v>
                </c:pt>
                <c:pt idx="147">
                  <c:v>338.51956579446698</c:v>
                </c:pt>
                <c:pt idx="148">
                  <c:v>115.99996430842201</c:v>
                </c:pt>
                <c:pt idx="149">
                  <c:v>271.97371741740096</c:v>
                </c:pt>
                <c:pt idx="150">
                  <c:v>131.21919608512502</c:v>
                </c:pt>
                <c:pt idx="151">
                  <c:v>213.47098836834502</c:v>
                </c:pt>
                <c:pt idx="152">
                  <c:v>321.63021140740904</c:v>
                </c:pt>
                <c:pt idx="153">
                  <c:v>93.006548719527004</c:v>
                </c:pt>
                <c:pt idx="154">
                  <c:v>307.21789308659322</c:v>
                </c:pt>
                <c:pt idx="155">
                  <c:v>71.394864795687994</c:v>
                </c:pt>
                <c:pt idx="156">
                  <c:v>-25.106366039359003</c:v>
                </c:pt>
                <c:pt idx="157">
                  <c:v>56.003544971199986</c:v>
                </c:pt>
                <c:pt idx="158">
                  <c:v>108.29582529444599</c:v>
                </c:pt>
                <c:pt idx="159">
                  <c:v>126.15295508911998</c:v>
                </c:pt>
                <c:pt idx="160">
                  <c:v>96.662760743617</c:v>
                </c:pt>
                <c:pt idx="161">
                  <c:v>205.17864513460603</c:v>
                </c:pt>
                <c:pt idx="162">
                  <c:v>286.75476506760901</c:v>
                </c:pt>
                <c:pt idx="163">
                  <c:v>182.02323722734997</c:v>
                </c:pt>
              </c:numCache>
            </c:numRef>
          </c:val>
          <c:extLst>
            <c:ext xmlns:c16="http://schemas.microsoft.com/office/drawing/2014/chart" uri="{C3380CC4-5D6E-409C-BE32-E72D297353CC}">
              <c16:uniqueId val="{00000000-DBF1-47D9-87E0-899BDC886C35}"/>
            </c:ext>
          </c:extLst>
        </c:ser>
        <c:dLbls>
          <c:showLegendKey val="0"/>
          <c:showVal val="0"/>
          <c:showCatName val="0"/>
          <c:showSerName val="0"/>
          <c:showPercent val="0"/>
          <c:showBubbleSize val="0"/>
        </c:dLbls>
        <c:gapWidth val="0"/>
        <c:overlap val="-27"/>
        <c:axId val="1823723120"/>
        <c:axId val="1823717840"/>
      </c:barChart>
      <c:catAx>
        <c:axId val="1823723120"/>
        <c:scaling>
          <c:orientation val="minMax"/>
        </c:scaling>
        <c:delete val="0"/>
        <c:axPos val="b"/>
        <c:title>
          <c:tx>
            <c:rich>
              <a:bodyPr rot="0" spcFirstLastPara="1" vertOverflow="ellipsis" vert="horz" wrap="square" anchor="ctr" anchorCtr="1"/>
              <a:lstStyle/>
              <a:p>
                <a:pPr>
                  <a:defRPr sz="1200" b="0" i="0" u="none" strike="noStrike" kern="1200" baseline="0">
                    <a:solidFill>
                      <a:schemeClr val="tx1">
                        <a:lumMod val="65000"/>
                        <a:lumOff val="35000"/>
                      </a:schemeClr>
                    </a:solidFill>
                    <a:latin typeface="Univers 57 Condensed" pitchFamily="50" charset="0"/>
                    <a:ea typeface="+mn-ea"/>
                    <a:cs typeface="+mn-cs"/>
                  </a:defRPr>
                </a:pPr>
                <a:r>
                  <a:rPr lang="en-US" sz="1200">
                    <a:latin typeface="Univers 57 Condensed" pitchFamily="50" charset="0"/>
                  </a:rPr>
                  <a:t>year-month</a:t>
                </a:r>
              </a:p>
            </c:rich>
          </c:tx>
          <c:overlay val="0"/>
          <c:spPr>
            <a:noFill/>
            <a:ln>
              <a:noFill/>
            </a:ln>
            <a:effectLst/>
          </c:spPr>
          <c:txPr>
            <a:bodyPr rot="0" spcFirstLastPara="1" vertOverflow="ellipsis" vert="horz" wrap="square" anchor="ctr" anchorCtr="1"/>
            <a:lstStyle/>
            <a:p>
              <a:pPr>
                <a:defRPr sz="1200" b="0" i="0" u="none" strike="noStrike" kern="1200" baseline="0">
                  <a:solidFill>
                    <a:schemeClr val="tx1">
                      <a:lumMod val="65000"/>
                      <a:lumOff val="35000"/>
                    </a:schemeClr>
                  </a:solidFill>
                  <a:latin typeface="Univers 57 Condensed" pitchFamily="50" charset="0"/>
                  <a:ea typeface="+mn-ea"/>
                  <a:cs typeface="+mn-cs"/>
                </a:defRPr>
              </a:pPr>
              <a:endParaRPr lang="en-US"/>
            </a:p>
          </c:txPr>
        </c:title>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5400000" spcFirstLastPara="1" vertOverflow="ellipsis" wrap="square" anchor="ctr" anchorCtr="1"/>
          <a:lstStyle/>
          <a:p>
            <a:pPr>
              <a:defRPr sz="1000" b="0" i="0" u="none" strike="noStrike" kern="1200" baseline="0">
                <a:solidFill>
                  <a:schemeClr val="tx1"/>
                </a:solidFill>
                <a:latin typeface="Univers 57 Condensed" pitchFamily="50" charset="0"/>
                <a:ea typeface="+mn-ea"/>
                <a:cs typeface="+mn-cs"/>
              </a:defRPr>
            </a:pPr>
            <a:endParaRPr lang="en-US"/>
          </a:p>
        </c:txPr>
        <c:crossAx val="1823717840"/>
        <c:crosses val="autoZero"/>
        <c:auto val="1"/>
        <c:lblAlgn val="ctr"/>
        <c:lblOffset val="0"/>
        <c:tickLblSkip val="6"/>
        <c:noMultiLvlLbl val="0"/>
      </c:catAx>
      <c:valAx>
        <c:axId val="182371784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200" b="0" i="0" u="none" strike="noStrike" kern="1200" baseline="0">
                    <a:solidFill>
                      <a:schemeClr val="tx1"/>
                    </a:solidFill>
                    <a:latin typeface="Univers 57 Condensed" pitchFamily="50" charset="0"/>
                    <a:ea typeface="+mn-ea"/>
                    <a:cs typeface="+mn-cs"/>
                  </a:defRPr>
                </a:pPr>
                <a:r>
                  <a:rPr lang="en-US" sz="1200">
                    <a:solidFill>
                      <a:schemeClr val="tx1"/>
                    </a:solidFill>
                    <a:latin typeface="Univers 57 Condensed" pitchFamily="50" charset="0"/>
                  </a:rPr>
                  <a:t>P - ETa (mm)</a:t>
                </a:r>
              </a:p>
            </c:rich>
          </c:tx>
          <c:overlay val="0"/>
          <c:spPr>
            <a:noFill/>
            <a:ln>
              <a:noFill/>
            </a:ln>
            <a:effectLst/>
          </c:spPr>
          <c:txPr>
            <a:bodyPr rot="-5400000" spcFirstLastPara="1" vertOverflow="ellipsis" vert="horz" wrap="square" anchor="ctr" anchorCtr="1"/>
            <a:lstStyle/>
            <a:p>
              <a:pPr>
                <a:defRPr sz="1200" b="0" i="0" u="none" strike="noStrike" kern="1200" baseline="0">
                  <a:solidFill>
                    <a:schemeClr val="tx1"/>
                  </a:solidFill>
                  <a:latin typeface="Univers 57 Condensed" pitchFamily="50" charset="0"/>
                  <a:ea typeface="+mn-ea"/>
                  <a:cs typeface="+mn-cs"/>
                </a:defRPr>
              </a:pPr>
              <a:endParaRPr lang="en-US"/>
            </a:p>
          </c:txPr>
        </c:title>
        <c:numFmt formatCode="0" sourceLinked="0"/>
        <c:majorTickMark val="none"/>
        <c:minorTickMark val="none"/>
        <c:tickLblPos val="nextTo"/>
        <c:spPr>
          <a:noFill/>
          <a:ln>
            <a:solidFill>
              <a:schemeClr val="bg1">
                <a:lumMod val="75000"/>
              </a:schemeClr>
            </a:solidFill>
          </a:ln>
          <a:effectLst/>
        </c:spPr>
        <c:txPr>
          <a:bodyPr rot="-60000000" spcFirstLastPara="1" vertOverflow="ellipsis" vert="horz" wrap="square" anchor="ctr" anchorCtr="1"/>
          <a:lstStyle/>
          <a:p>
            <a:pPr>
              <a:defRPr sz="1200" b="0" i="0" u="none" strike="noStrike" kern="1200" baseline="0">
                <a:solidFill>
                  <a:schemeClr val="tx1"/>
                </a:solidFill>
                <a:latin typeface="Univers 57 Condensed" pitchFamily="50" charset="0"/>
                <a:ea typeface="+mn-ea"/>
                <a:cs typeface="+mn-cs"/>
              </a:defRPr>
            </a:pPr>
            <a:endParaRPr lang="en-US"/>
          </a:p>
        </c:txPr>
        <c:crossAx val="1823723120"/>
        <c:crosses val="autoZero"/>
        <c:crossBetween val="between"/>
      </c:valAx>
      <c:spPr>
        <a:noFill/>
        <a:ln>
          <a:solidFill>
            <a:schemeClr val="bg1">
              <a:lumMod val="75000"/>
            </a:schemeClr>
          </a:solid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a:pPr>
      <a:endParaRPr lang="en-US"/>
    </a:p>
  </c:txPr>
  <c:externalData r:id="rId3">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1"/>
          <c:order val="0"/>
          <c:tx>
            <c:strRef>
              <c:f>Pohnpei!$M$1</c:f>
              <c:strCache>
                <c:ptCount val="1"/>
                <c:pt idx="0">
                  <c:v>IMERG (P)</c:v>
                </c:pt>
              </c:strCache>
            </c:strRef>
          </c:tx>
          <c:spPr>
            <a:solidFill>
              <a:schemeClr val="accent1">
                <a:lumMod val="60000"/>
                <a:lumOff val="40000"/>
              </a:schemeClr>
            </a:solidFill>
            <a:ln>
              <a:noFill/>
            </a:ln>
            <a:effectLst/>
          </c:spPr>
          <c:invertIfNegative val="0"/>
          <c:cat>
            <c:numRef>
              <c:f>Pohnpei!$L$18:$L$29</c:f>
              <c:numCache>
                <c:formatCode>General</c:formatCode>
                <c:ptCount val="12"/>
                <c:pt idx="0">
                  <c:v>2013</c:v>
                </c:pt>
                <c:pt idx="1">
                  <c:v>2014</c:v>
                </c:pt>
                <c:pt idx="2">
                  <c:v>2015</c:v>
                </c:pt>
                <c:pt idx="3">
                  <c:v>2016</c:v>
                </c:pt>
                <c:pt idx="4">
                  <c:v>2017</c:v>
                </c:pt>
                <c:pt idx="5">
                  <c:v>2018</c:v>
                </c:pt>
                <c:pt idx="6">
                  <c:v>2019</c:v>
                </c:pt>
                <c:pt idx="7">
                  <c:v>2020</c:v>
                </c:pt>
                <c:pt idx="8">
                  <c:v>2021</c:v>
                </c:pt>
                <c:pt idx="9">
                  <c:v>2022</c:v>
                </c:pt>
                <c:pt idx="10">
                  <c:v>2023</c:v>
                </c:pt>
                <c:pt idx="11">
                  <c:v>2024</c:v>
                </c:pt>
              </c:numCache>
            </c:numRef>
          </c:cat>
          <c:val>
            <c:numRef>
              <c:f>Pohnpei!$M$18:$M$29</c:f>
              <c:numCache>
                <c:formatCode>General</c:formatCode>
                <c:ptCount val="12"/>
                <c:pt idx="0">
                  <c:v>2716.0064308390001</c:v>
                </c:pt>
                <c:pt idx="1">
                  <c:v>3549.2314277219998</c:v>
                </c:pt>
                <c:pt idx="2">
                  <c:v>3730.3504152989999</c:v>
                </c:pt>
                <c:pt idx="3">
                  <c:v>2771.826929675</c:v>
                </c:pt>
                <c:pt idx="4">
                  <c:v>3413.0884284039998</c:v>
                </c:pt>
                <c:pt idx="5">
                  <c:v>4361.304883711</c:v>
                </c:pt>
                <c:pt idx="6">
                  <c:v>3754.1054161749998</c:v>
                </c:pt>
                <c:pt idx="7">
                  <c:v>3738.9064124070001</c:v>
                </c:pt>
                <c:pt idx="8">
                  <c:v>3848.4549171449999</c:v>
                </c:pt>
                <c:pt idx="9">
                  <c:v>4404.5138802640004</c:v>
                </c:pt>
                <c:pt idx="10">
                  <c:v>3864.5559140810001</c:v>
                </c:pt>
                <c:pt idx="11">
                  <c:v>3601.3964230440001</c:v>
                </c:pt>
              </c:numCache>
            </c:numRef>
          </c:val>
          <c:extLst>
            <c:ext xmlns:c16="http://schemas.microsoft.com/office/drawing/2014/chart" uri="{C3380CC4-5D6E-409C-BE32-E72D297353CC}">
              <c16:uniqueId val="{00000000-9DD6-499B-8236-5B56B2309911}"/>
            </c:ext>
          </c:extLst>
        </c:ser>
        <c:ser>
          <c:idx val="0"/>
          <c:order val="1"/>
          <c:tx>
            <c:strRef>
              <c:f>Pohnpei!$N$1</c:f>
              <c:strCache>
                <c:ptCount val="1"/>
                <c:pt idx="0">
                  <c:v>SSEBop (ETa)</c:v>
                </c:pt>
              </c:strCache>
            </c:strRef>
          </c:tx>
          <c:spPr>
            <a:solidFill>
              <a:schemeClr val="accent3">
                <a:lumMod val="75000"/>
              </a:schemeClr>
            </a:solidFill>
            <a:ln>
              <a:noFill/>
            </a:ln>
            <a:effectLst/>
          </c:spPr>
          <c:invertIfNegative val="0"/>
          <c:cat>
            <c:numRef>
              <c:f>Pohnpei!$L$18:$L$29</c:f>
              <c:numCache>
                <c:formatCode>General</c:formatCode>
                <c:ptCount val="12"/>
                <c:pt idx="0">
                  <c:v>2013</c:v>
                </c:pt>
                <c:pt idx="1">
                  <c:v>2014</c:v>
                </c:pt>
                <c:pt idx="2">
                  <c:v>2015</c:v>
                </c:pt>
                <c:pt idx="3">
                  <c:v>2016</c:v>
                </c:pt>
                <c:pt idx="4">
                  <c:v>2017</c:v>
                </c:pt>
                <c:pt idx="5">
                  <c:v>2018</c:v>
                </c:pt>
                <c:pt idx="6">
                  <c:v>2019</c:v>
                </c:pt>
                <c:pt idx="7">
                  <c:v>2020</c:v>
                </c:pt>
                <c:pt idx="8">
                  <c:v>2021</c:v>
                </c:pt>
                <c:pt idx="9">
                  <c:v>2022</c:v>
                </c:pt>
                <c:pt idx="10">
                  <c:v>2023</c:v>
                </c:pt>
                <c:pt idx="11">
                  <c:v>2024</c:v>
                </c:pt>
              </c:numCache>
            </c:numRef>
          </c:cat>
          <c:val>
            <c:numRef>
              <c:f>Pohnpei!$N$18:$N$29</c:f>
              <c:numCache>
                <c:formatCode>General</c:formatCode>
                <c:ptCount val="12"/>
                <c:pt idx="0">
                  <c:v>1282</c:v>
                </c:pt>
                <c:pt idx="1">
                  <c:v>1268</c:v>
                </c:pt>
                <c:pt idx="2">
                  <c:v>1254</c:v>
                </c:pt>
                <c:pt idx="3">
                  <c:v>1272</c:v>
                </c:pt>
                <c:pt idx="4">
                  <c:v>1271</c:v>
                </c:pt>
                <c:pt idx="5">
                  <c:v>1263</c:v>
                </c:pt>
                <c:pt idx="6">
                  <c:v>1243</c:v>
                </c:pt>
                <c:pt idx="7">
                  <c:v>1258</c:v>
                </c:pt>
                <c:pt idx="8">
                  <c:v>1234</c:v>
                </c:pt>
                <c:pt idx="9">
                  <c:v>1247</c:v>
                </c:pt>
                <c:pt idx="10">
                  <c:v>1229</c:v>
                </c:pt>
                <c:pt idx="11">
                  <c:v>1296</c:v>
                </c:pt>
              </c:numCache>
            </c:numRef>
          </c:val>
          <c:extLst>
            <c:ext xmlns:c16="http://schemas.microsoft.com/office/drawing/2014/chart" uri="{C3380CC4-5D6E-409C-BE32-E72D297353CC}">
              <c16:uniqueId val="{00000001-9DD6-499B-8236-5B56B2309911}"/>
            </c:ext>
          </c:extLst>
        </c:ser>
        <c:ser>
          <c:idx val="2"/>
          <c:order val="2"/>
          <c:tx>
            <c:strRef>
              <c:f>Pohnpei!$O$1</c:f>
              <c:strCache>
                <c:ptCount val="1"/>
                <c:pt idx="0">
                  <c:v>P - ETa</c:v>
                </c:pt>
              </c:strCache>
            </c:strRef>
          </c:tx>
          <c:spPr>
            <a:solidFill>
              <a:srgbClr val="002060"/>
            </a:solidFill>
            <a:ln>
              <a:noFill/>
            </a:ln>
            <a:effectLst/>
          </c:spPr>
          <c:invertIfNegative val="0"/>
          <c:cat>
            <c:numRef>
              <c:f>Pohnpei!$L$18:$L$29</c:f>
              <c:numCache>
                <c:formatCode>General</c:formatCode>
                <c:ptCount val="12"/>
                <c:pt idx="0">
                  <c:v>2013</c:v>
                </c:pt>
                <c:pt idx="1">
                  <c:v>2014</c:v>
                </c:pt>
                <c:pt idx="2">
                  <c:v>2015</c:v>
                </c:pt>
                <c:pt idx="3">
                  <c:v>2016</c:v>
                </c:pt>
                <c:pt idx="4">
                  <c:v>2017</c:v>
                </c:pt>
                <c:pt idx="5">
                  <c:v>2018</c:v>
                </c:pt>
                <c:pt idx="6">
                  <c:v>2019</c:v>
                </c:pt>
                <c:pt idx="7">
                  <c:v>2020</c:v>
                </c:pt>
                <c:pt idx="8">
                  <c:v>2021</c:v>
                </c:pt>
                <c:pt idx="9">
                  <c:v>2022</c:v>
                </c:pt>
                <c:pt idx="10">
                  <c:v>2023</c:v>
                </c:pt>
                <c:pt idx="11">
                  <c:v>2024</c:v>
                </c:pt>
              </c:numCache>
            </c:numRef>
          </c:cat>
          <c:val>
            <c:numRef>
              <c:f>Pohnpei!$O$18:$O$29</c:f>
              <c:numCache>
                <c:formatCode>0</c:formatCode>
                <c:ptCount val="12"/>
                <c:pt idx="0">
                  <c:v>1434.0064308390001</c:v>
                </c:pt>
                <c:pt idx="1">
                  <c:v>2281.2314277219998</c:v>
                </c:pt>
                <c:pt idx="2">
                  <c:v>2476.3504152989999</c:v>
                </c:pt>
                <c:pt idx="3">
                  <c:v>1499.826929675</c:v>
                </c:pt>
                <c:pt idx="4">
                  <c:v>2142.0884284039998</c:v>
                </c:pt>
                <c:pt idx="5">
                  <c:v>3098.304883711</c:v>
                </c:pt>
                <c:pt idx="6">
                  <c:v>2511.1054161749998</c:v>
                </c:pt>
                <c:pt idx="7">
                  <c:v>2480.9064124070001</c:v>
                </c:pt>
                <c:pt idx="8">
                  <c:v>2614.4549171449999</c:v>
                </c:pt>
                <c:pt idx="9">
                  <c:v>3157.5138802640004</c:v>
                </c:pt>
                <c:pt idx="10">
                  <c:v>2635.5559140810001</c:v>
                </c:pt>
                <c:pt idx="11">
                  <c:v>2305.3964230440001</c:v>
                </c:pt>
              </c:numCache>
            </c:numRef>
          </c:val>
          <c:extLst>
            <c:ext xmlns:c16="http://schemas.microsoft.com/office/drawing/2014/chart" uri="{C3380CC4-5D6E-409C-BE32-E72D297353CC}">
              <c16:uniqueId val="{00000002-9DD6-499B-8236-5B56B2309911}"/>
            </c:ext>
          </c:extLst>
        </c:ser>
        <c:dLbls>
          <c:showLegendKey val="0"/>
          <c:showVal val="0"/>
          <c:showCatName val="0"/>
          <c:showSerName val="0"/>
          <c:showPercent val="0"/>
          <c:showBubbleSize val="0"/>
        </c:dLbls>
        <c:gapWidth val="150"/>
        <c:axId val="1822521504"/>
        <c:axId val="1822522944"/>
      </c:barChart>
      <c:catAx>
        <c:axId val="1822521504"/>
        <c:scaling>
          <c:orientation val="minMax"/>
        </c:scaling>
        <c:delete val="0"/>
        <c:axPos val="b"/>
        <c:title>
          <c:tx>
            <c:rich>
              <a:bodyPr rot="0" spcFirstLastPara="1" vertOverflow="ellipsis" vert="horz" wrap="square" anchor="ctr" anchorCtr="1"/>
              <a:lstStyle/>
              <a:p>
                <a:pPr>
                  <a:defRPr sz="1200" b="0" i="0" u="none" strike="noStrike" kern="1200" baseline="0">
                    <a:solidFill>
                      <a:schemeClr val="tx1">
                        <a:lumMod val="65000"/>
                        <a:lumOff val="35000"/>
                      </a:schemeClr>
                    </a:solidFill>
                    <a:latin typeface="Univers 57 Condensed" pitchFamily="50" charset="0"/>
                    <a:ea typeface="+mn-ea"/>
                    <a:cs typeface="+mn-cs"/>
                  </a:defRPr>
                </a:pPr>
                <a:r>
                  <a:rPr lang="en-US" sz="1200">
                    <a:latin typeface="Univers 57 Condensed" pitchFamily="50" charset="0"/>
                  </a:rPr>
                  <a:t>year</a:t>
                </a:r>
              </a:p>
            </c:rich>
          </c:tx>
          <c:overlay val="0"/>
          <c:spPr>
            <a:noFill/>
            <a:ln>
              <a:noFill/>
            </a:ln>
            <a:effectLst/>
          </c:spPr>
          <c:txPr>
            <a:bodyPr rot="0" spcFirstLastPara="1" vertOverflow="ellipsis" vert="horz" wrap="square" anchor="ctr" anchorCtr="1"/>
            <a:lstStyle/>
            <a:p>
              <a:pPr>
                <a:defRPr sz="1200" b="0" i="0" u="none" strike="noStrike" kern="1200" baseline="0">
                  <a:solidFill>
                    <a:schemeClr val="tx1">
                      <a:lumMod val="65000"/>
                      <a:lumOff val="35000"/>
                    </a:schemeClr>
                  </a:solidFill>
                  <a:latin typeface="Univers 57 Condensed" pitchFamily="50" charset="0"/>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200" b="0" i="0" u="none" strike="noStrike" kern="1200" baseline="0">
                <a:solidFill>
                  <a:schemeClr val="tx1"/>
                </a:solidFill>
                <a:latin typeface="Univers 57 Condensed" pitchFamily="50" charset="0"/>
                <a:ea typeface="+mn-ea"/>
                <a:cs typeface="+mn-cs"/>
              </a:defRPr>
            </a:pPr>
            <a:endParaRPr lang="en-US"/>
          </a:p>
        </c:txPr>
        <c:crossAx val="1822522944"/>
        <c:crosses val="autoZero"/>
        <c:auto val="1"/>
        <c:lblAlgn val="ctr"/>
        <c:lblOffset val="100"/>
        <c:noMultiLvlLbl val="0"/>
      </c:catAx>
      <c:valAx>
        <c:axId val="1822522944"/>
        <c:scaling>
          <c:orientation val="minMax"/>
        </c:scaling>
        <c:delete val="0"/>
        <c:axPos val="l"/>
        <c:majorGridlines>
          <c:spPr>
            <a:ln w="9525" cap="flat" cmpd="sng" algn="ctr">
              <a:solidFill>
                <a:schemeClr val="bg1">
                  <a:lumMod val="75000"/>
                </a:schemeClr>
              </a:solidFill>
              <a:round/>
            </a:ln>
            <a:effectLst/>
          </c:spPr>
        </c:majorGridlines>
        <c:title>
          <c:tx>
            <c:rich>
              <a:bodyPr rot="-5400000" spcFirstLastPara="1" vertOverflow="ellipsis" vert="horz" wrap="square" anchor="ctr" anchorCtr="1"/>
              <a:lstStyle/>
              <a:p>
                <a:pPr>
                  <a:defRPr sz="1200" b="0" i="0" u="none" strike="noStrike" kern="1200" baseline="0">
                    <a:solidFill>
                      <a:schemeClr val="tx1">
                        <a:lumMod val="65000"/>
                        <a:lumOff val="35000"/>
                      </a:schemeClr>
                    </a:solidFill>
                    <a:latin typeface="Univers 57 Condensed" pitchFamily="50" charset="0"/>
                    <a:ea typeface="+mn-ea"/>
                    <a:cs typeface="+mn-cs"/>
                  </a:defRPr>
                </a:pPr>
                <a:r>
                  <a:rPr lang="en-US" sz="1200">
                    <a:latin typeface="Univers 57 Condensed" pitchFamily="50" charset="0"/>
                  </a:rPr>
                  <a:t>Net annual water availability (mm)</a:t>
                </a:r>
              </a:p>
            </c:rich>
          </c:tx>
          <c:layout>
            <c:manualLayout>
              <c:xMode val="edge"/>
              <c:yMode val="edge"/>
              <c:x val="1.0248166094622788E-2"/>
              <c:y val="5.007526632700323E-2"/>
            </c:manualLayout>
          </c:layout>
          <c:overlay val="0"/>
          <c:spPr>
            <a:noFill/>
            <a:ln>
              <a:noFill/>
            </a:ln>
            <a:effectLst/>
          </c:spPr>
          <c:txPr>
            <a:bodyPr rot="-5400000" spcFirstLastPara="1" vertOverflow="ellipsis" vert="horz" wrap="square" anchor="ctr" anchorCtr="1"/>
            <a:lstStyle/>
            <a:p>
              <a:pPr>
                <a:defRPr sz="1200" b="0" i="0" u="none" strike="noStrike" kern="1200" baseline="0">
                  <a:solidFill>
                    <a:schemeClr val="tx1">
                      <a:lumMod val="65000"/>
                      <a:lumOff val="35000"/>
                    </a:schemeClr>
                  </a:solidFill>
                  <a:latin typeface="Univers 57 Condensed" pitchFamily="50" charset="0"/>
                  <a:ea typeface="+mn-ea"/>
                  <a:cs typeface="+mn-cs"/>
                </a:defRPr>
              </a:pPr>
              <a:endParaRPr lang="en-US"/>
            </a:p>
          </c:txPr>
        </c:title>
        <c:numFmt formatCode="0" sourceLinked="0"/>
        <c:majorTickMark val="out"/>
        <c:minorTickMark val="none"/>
        <c:tickLblPos val="nextTo"/>
        <c:spPr>
          <a:noFill/>
          <a:ln>
            <a:noFill/>
          </a:ln>
          <a:effectLst/>
        </c:spPr>
        <c:txPr>
          <a:bodyPr rot="-60000000" spcFirstLastPara="1" vertOverflow="ellipsis" vert="horz" wrap="square" anchor="ctr" anchorCtr="1"/>
          <a:lstStyle/>
          <a:p>
            <a:pPr>
              <a:defRPr sz="1200" b="0" i="0" u="none" strike="noStrike" kern="1200" baseline="0">
                <a:solidFill>
                  <a:schemeClr val="tx1">
                    <a:lumMod val="65000"/>
                    <a:lumOff val="35000"/>
                  </a:schemeClr>
                </a:solidFill>
                <a:latin typeface="Univers 57 Condensed" pitchFamily="50" charset="0"/>
                <a:ea typeface="+mn-ea"/>
                <a:cs typeface="+mn-cs"/>
              </a:defRPr>
            </a:pPr>
            <a:endParaRPr lang="en-US"/>
          </a:p>
        </c:txPr>
        <c:crossAx val="1822521504"/>
        <c:crosses val="autoZero"/>
        <c:crossBetween val="between"/>
      </c:valAx>
      <c:spPr>
        <a:noFill/>
        <a:ln>
          <a:solidFill>
            <a:schemeClr val="bg1">
              <a:lumMod val="75000"/>
            </a:schemeClr>
          </a:solidFill>
        </a:ln>
        <a:effectLst/>
      </c:spPr>
    </c:plotArea>
    <c:legend>
      <c:legendPos val="r"/>
      <c:overlay val="0"/>
      <c:spPr>
        <a:noFill/>
        <a:ln>
          <a:noFill/>
        </a:ln>
        <a:effectLst/>
      </c:spPr>
      <c:txPr>
        <a:bodyPr rot="0" spcFirstLastPara="1" vertOverflow="ellipsis" vert="horz" wrap="square" anchor="ctr" anchorCtr="1"/>
        <a:lstStyle/>
        <a:p>
          <a:pPr>
            <a:defRPr sz="1600" b="0" i="0" u="none" strike="noStrike" kern="1200" baseline="0">
              <a:solidFill>
                <a:schemeClr val="tx1">
                  <a:lumMod val="65000"/>
                  <a:lumOff val="35000"/>
                </a:schemeClr>
              </a:solidFill>
              <a:latin typeface="Univers 57 Condensed" pitchFamily="50" charset="0"/>
              <a:ea typeface="+mn-ea"/>
              <a:cs typeface="+mn-cs"/>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a:pPr>
      <a:endParaRPr lang="en-US"/>
    </a:p>
  </c:txPr>
  <c:externalData r:id="rId3">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2"/>
          <c:order val="0"/>
          <c:tx>
            <c:strRef>
              <c:f>Yap!$D$2</c:f>
              <c:strCache>
                <c:ptCount val="1"/>
                <c:pt idx="0">
                  <c:v>mm</c:v>
                </c:pt>
              </c:strCache>
            </c:strRef>
          </c:tx>
          <c:spPr>
            <a:solidFill>
              <a:schemeClr val="tx2">
                <a:lumMod val="40000"/>
                <a:lumOff val="60000"/>
              </a:schemeClr>
            </a:solidFill>
            <a:ln>
              <a:solidFill>
                <a:schemeClr val="tx2">
                  <a:lumMod val="40000"/>
                  <a:lumOff val="60000"/>
                </a:schemeClr>
              </a:solidFill>
            </a:ln>
            <a:effectLst/>
          </c:spPr>
          <c:invertIfNegative val="0"/>
          <c:cat>
            <c:strRef>
              <c:f>Yap!$A$3:$A$335</c:f>
              <c:strCache>
                <c:ptCount val="333"/>
                <c:pt idx="0">
                  <c:v>1998-01</c:v>
                </c:pt>
                <c:pt idx="1">
                  <c:v>1998-02</c:v>
                </c:pt>
                <c:pt idx="2">
                  <c:v>1998-03</c:v>
                </c:pt>
                <c:pt idx="3">
                  <c:v>1998-04</c:v>
                </c:pt>
                <c:pt idx="4">
                  <c:v>1998-05</c:v>
                </c:pt>
                <c:pt idx="5">
                  <c:v>1998-06</c:v>
                </c:pt>
                <c:pt idx="6">
                  <c:v>1998-07</c:v>
                </c:pt>
                <c:pt idx="7">
                  <c:v>1998-08</c:v>
                </c:pt>
                <c:pt idx="8">
                  <c:v>1998-09</c:v>
                </c:pt>
                <c:pt idx="9">
                  <c:v>1998-10</c:v>
                </c:pt>
                <c:pt idx="10">
                  <c:v>1998-11</c:v>
                </c:pt>
                <c:pt idx="11">
                  <c:v>1998-12</c:v>
                </c:pt>
                <c:pt idx="12">
                  <c:v>1999-01</c:v>
                </c:pt>
                <c:pt idx="13">
                  <c:v>1999-02</c:v>
                </c:pt>
                <c:pt idx="14">
                  <c:v>1999-03</c:v>
                </c:pt>
                <c:pt idx="15">
                  <c:v>1999-04</c:v>
                </c:pt>
                <c:pt idx="16">
                  <c:v>1999-05</c:v>
                </c:pt>
                <c:pt idx="17">
                  <c:v>1999-06</c:v>
                </c:pt>
                <c:pt idx="18">
                  <c:v>1999-07</c:v>
                </c:pt>
                <c:pt idx="19">
                  <c:v>1999-08</c:v>
                </c:pt>
                <c:pt idx="20">
                  <c:v>1999-09</c:v>
                </c:pt>
                <c:pt idx="21">
                  <c:v>1999-10</c:v>
                </c:pt>
                <c:pt idx="22">
                  <c:v>1999-11</c:v>
                </c:pt>
                <c:pt idx="23">
                  <c:v>1999-12</c:v>
                </c:pt>
                <c:pt idx="24">
                  <c:v>2000-01</c:v>
                </c:pt>
                <c:pt idx="25">
                  <c:v>2000-02</c:v>
                </c:pt>
                <c:pt idx="26">
                  <c:v>2000-03</c:v>
                </c:pt>
                <c:pt idx="27">
                  <c:v>2000-04</c:v>
                </c:pt>
                <c:pt idx="28">
                  <c:v>2000-05</c:v>
                </c:pt>
                <c:pt idx="29">
                  <c:v>2000-06</c:v>
                </c:pt>
                <c:pt idx="30">
                  <c:v>2000-07</c:v>
                </c:pt>
                <c:pt idx="31">
                  <c:v>2000-08</c:v>
                </c:pt>
                <c:pt idx="32">
                  <c:v>2000-09</c:v>
                </c:pt>
                <c:pt idx="33">
                  <c:v>2000-10</c:v>
                </c:pt>
                <c:pt idx="34">
                  <c:v>2000-11</c:v>
                </c:pt>
                <c:pt idx="35">
                  <c:v>2000-12</c:v>
                </c:pt>
                <c:pt idx="36">
                  <c:v>2001-01</c:v>
                </c:pt>
                <c:pt idx="37">
                  <c:v>2001-02</c:v>
                </c:pt>
                <c:pt idx="38">
                  <c:v>2001-03</c:v>
                </c:pt>
                <c:pt idx="39">
                  <c:v>2001-04</c:v>
                </c:pt>
                <c:pt idx="40">
                  <c:v>2001-05</c:v>
                </c:pt>
                <c:pt idx="41">
                  <c:v>2001-06</c:v>
                </c:pt>
                <c:pt idx="42">
                  <c:v>2001-07</c:v>
                </c:pt>
                <c:pt idx="43">
                  <c:v>2001-08</c:v>
                </c:pt>
                <c:pt idx="44">
                  <c:v>2001-09</c:v>
                </c:pt>
                <c:pt idx="45">
                  <c:v>2001-10</c:v>
                </c:pt>
                <c:pt idx="46">
                  <c:v>2001-11</c:v>
                </c:pt>
                <c:pt idx="47">
                  <c:v>2001-12</c:v>
                </c:pt>
                <c:pt idx="48">
                  <c:v>2002-01</c:v>
                </c:pt>
                <c:pt idx="49">
                  <c:v>2002-02</c:v>
                </c:pt>
                <c:pt idx="50">
                  <c:v>2002-03</c:v>
                </c:pt>
                <c:pt idx="51">
                  <c:v>2002-04</c:v>
                </c:pt>
                <c:pt idx="52">
                  <c:v>2002-05</c:v>
                </c:pt>
                <c:pt idx="53">
                  <c:v>2002-06</c:v>
                </c:pt>
                <c:pt idx="54">
                  <c:v>2002-07</c:v>
                </c:pt>
                <c:pt idx="55">
                  <c:v>2002-08</c:v>
                </c:pt>
                <c:pt idx="56">
                  <c:v>2002-09</c:v>
                </c:pt>
                <c:pt idx="57">
                  <c:v>2002-10</c:v>
                </c:pt>
                <c:pt idx="58">
                  <c:v>2002-11</c:v>
                </c:pt>
                <c:pt idx="59">
                  <c:v>2002-12</c:v>
                </c:pt>
                <c:pt idx="60">
                  <c:v>2003-01</c:v>
                </c:pt>
                <c:pt idx="61">
                  <c:v>2003-02</c:v>
                </c:pt>
                <c:pt idx="62">
                  <c:v>2003-03</c:v>
                </c:pt>
                <c:pt idx="63">
                  <c:v>2003-04</c:v>
                </c:pt>
                <c:pt idx="64">
                  <c:v>2003-05</c:v>
                </c:pt>
                <c:pt idx="65">
                  <c:v>2003-06</c:v>
                </c:pt>
                <c:pt idx="66">
                  <c:v>2003-07</c:v>
                </c:pt>
                <c:pt idx="67">
                  <c:v>2003-08</c:v>
                </c:pt>
                <c:pt idx="68">
                  <c:v>2003-09</c:v>
                </c:pt>
                <c:pt idx="69">
                  <c:v>2003-10</c:v>
                </c:pt>
                <c:pt idx="70">
                  <c:v>2003-11</c:v>
                </c:pt>
                <c:pt idx="71">
                  <c:v>2003-12</c:v>
                </c:pt>
                <c:pt idx="72">
                  <c:v>2004-01</c:v>
                </c:pt>
                <c:pt idx="73">
                  <c:v>2004-02</c:v>
                </c:pt>
                <c:pt idx="74">
                  <c:v>2004-03</c:v>
                </c:pt>
                <c:pt idx="75">
                  <c:v>2004-04</c:v>
                </c:pt>
                <c:pt idx="76">
                  <c:v>2004-05</c:v>
                </c:pt>
                <c:pt idx="77">
                  <c:v>2004-06</c:v>
                </c:pt>
                <c:pt idx="78">
                  <c:v>2004-07</c:v>
                </c:pt>
                <c:pt idx="79">
                  <c:v>2004-08</c:v>
                </c:pt>
                <c:pt idx="80">
                  <c:v>2004-09</c:v>
                </c:pt>
                <c:pt idx="81">
                  <c:v>2004-10</c:v>
                </c:pt>
                <c:pt idx="82">
                  <c:v>2004-11</c:v>
                </c:pt>
                <c:pt idx="83">
                  <c:v>2004-12</c:v>
                </c:pt>
                <c:pt idx="84">
                  <c:v>2005-01</c:v>
                </c:pt>
                <c:pt idx="85">
                  <c:v>2005-02</c:v>
                </c:pt>
                <c:pt idx="86">
                  <c:v>2005-03</c:v>
                </c:pt>
                <c:pt idx="87">
                  <c:v>2005-04</c:v>
                </c:pt>
                <c:pt idx="88">
                  <c:v>2005-05</c:v>
                </c:pt>
                <c:pt idx="89">
                  <c:v>2005-06</c:v>
                </c:pt>
                <c:pt idx="90">
                  <c:v>2005-07</c:v>
                </c:pt>
                <c:pt idx="91">
                  <c:v>2005-08</c:v>
                </c:pt>
                <c:pt idx="92">
                  <c:v>2005-09</c:v>
                </c:pt>
                <c:pt idx="93">
                  <c:v>2005-10</c:v>
                </c:pt>
                <c:pt idx="94">
                  <c:v>2005-11</c:v>
                </c:pt>
                <c:pt idx="95">
                  <c:v>2005-12</c:v>
                </c:pt>
                <c:pt idx="96">
                  <c:v>2006-01</c:v>
                </c:pt>
                <c:pt idx="97">
                  <c:v>2006-02</c:v>
                </c:pt>
                <c:pt idx="98">
                  <c:v>2006-03</c:v>
                </c:pt>
                <c:pt idx="99">
                  <c:v>2006-04</c:v>
                </c:pt>
                <c:pt idx="100">
                  <c:v>2006-05</c:v>
                </c:pt>
                <c:pt idx="101">
                  <c:v>2006-06</c:v>
                </c:pt>
                <c:pt idx="102">
                  <c:v>2006-07</c:v>
                </c:pt>
                <c:pt idx="103">
                  <c:v>2006-08</c:v>
                </c:pt>
                <c:pt idx="104">
                  <c:v>2006-09</c:v>
                </c:pt>
                <c:pt idx="105">
                  <c:v>2006-10</c:v>
                </c:pt>
                <c:pt idx="106">
                  <c:v>2006-11</c:v>
                </c:pt>
                <c:pt idx="107">
                  <c:v>2006-12</c:v>
                </c:pt>
                <c:pt idx="108">
                  <c:v>2007-01</c:v>
                </c:pt>
                <c:pt idx="109">
                  <c:v>2007-02</c:v>
                </c:pt>
                <c:pt idx="110">
                  <c:v>2007-03</c:v>
                </c:pt>
                <c:pt idx="111">
                  <c:v>2007-04</c:v>
                </c:pt>
                <c:pt idx="112">
                  <c:v>2007-05</c:v>
                </c:pt>
                <c:pt idx="113">
                  <c:v>2007-06</c:v>
                </c:pt>
                <c:pt idx="114">
                  <c:v>2007-07</c:v>
                </c:pt>
                <c:pt idx="115">
                  <c:v>2007-08</c:v>
                </c:pt>
                <c:pt idx="116">
                  <c:v>2007-09</c:v>
                </c:pt>
                <c:pt idx="117">
                  <c:v>2007-10</c:v>
                </c:pt>
                <c:pt idx="118">
                  <c:v>2007-11</c:v>
                </c:pt>
                <c:pt idx="119">
                  <c:v>2007-12</c:v>
                </c:pt>
                <c:pt idx="120">
                  <c:v>2008-01</c:v>
                </c:pt>
                <c:pt idx="121">
                  <c:v>2008-02</c:v>
                </c:pt>
                <c:pt idx="122">
                  <c:v>2008-03</c:v>
                </c:pt>
                <c:pt idx="123">
                  <c:v>2008-04</c:v>
                </c:pt>
                <c:pt idx="124">
                  <c:v>2008-05</c:v>
                </c:pt>
                <c:pt idx="125">
                  <c:v>2008-06</c:v>
                </c:pt>
                <c:pt idx="126">
                  <c:v>2008-07</c:v>
                </c:pt>
                <c:pt idx="127">
                  <c:v>2008-08</c:v>
                </c:pt>
                <c:pt idx="128">
                  <c:v>2008-09</c:v>
                </c:pt>
                <c:pt idx="129">
                  <c:v>2008-10</c:v>
                </c:pt>
                <c:pt idx="130">
                  <c:v>2008-11</c:v>
                </c:pt>
                <c:pt idx="131">
                  <c:v>2008-12</c:v>
                </c:pt>
                <c:pt idx="132">
                  <c:v>2009-01</c:v>
                </c:pt>
                <c:pt idx="133">
                  <c:v>2009-02</c:v>
                </c:pt>
                <c:pt idx="134">
                  <c:v>2009-03</c:v>
                </c:pt>
                <c:pt idx="135">
                  <c:v>2009-04</c:v>
                </c:pt>
                <c:pt idx="136">
                  <c:v>2009-05</c:v>
                </c:pt>
                <c:pt idx="137">
                  <c:v>2009-06</c:v>
                </c:pt>
                <c:pt idx="138">
                  <c:v>2009-07</c:v>
                </c:pt>
                <c:pt idx="139">
                  <c:v>2009-08</c:v>
                </c:pt>
                <c:pt idx="140">
                  <c:v>2009-09</c:v>
                </c:pt>
                <c:pt idx="141">
                  <c:v>2009-10</c:v>
                </c:pt>
                <c:pt idx="142">
                  <c:v>2009-11</c:v>
                </c:pt>
                <c:pt idx="143">
                  <c:v>2009-12</c:v>
                </c:pt>
                <c:pt idx="144">
                  <c:v>2010-01</c:v>
                </c:pt>
                <c:pt idx="145">
                  <c:v>2010-02</c:v>
                </c:pt>
                <c:pt idx="146">
                  <c:v>2010-03</c:v>
                </c:pt>
                <c:pt idx="147">
                  <c:v>2010-04</c:v>
                </c:pt>
                <c:pt idx="148">
                  <c:v>2010-05</c:v>
                </c:pt>
                <c:pt idx="149">
                  <c:v>2010-06</c:v>
                </c:pt>
                <c:pt idx="150">
                  <c:v>2010-07</c:v>
                </c:pt>
                <c:pt idx="151">
                  <c:v>2010-08</c:v>
                </c:pt>
                <c:pt idx="152">
                  <c:v>2010-09</c:v>
                </c:pt>
                <c:pt idx="153">
                  <c:v>2010-10</c:v>
                </c:pt>
                <c:pt idx="154">
                  <c:v>2010-11</c:v>
                </c:pt>
                <c:pt idx="155">
                  <c:v>2010-12</c:v>
                </c:pt>
                <c:pt idx="156">
                  <c:v>2011-01</c:v>
                </c:pt>
                <c:pt idx="157">
                  <c:v>2011-02</c:v>
                </c:pt>
                <c:pt idx="158">
                  <c:v>2011-03</c:v>
                </c:pt>
                <c:pt idx="159">
                  <c:v>2011-04</c:v>
                </c:pt>
                <c:pt idx="160">
                  <c:v>2011-05</c:v>
                </c:pt>
                <c:pt idx="161">
                  <c:v>2011-06</c:v>
                </c:pt>
                <c:pt idx="162">
                  <c:v>2011-07</c:v>
                </c:pt>
                <c:pt idx="163">
                  <c:v>2011-08</c:v>
                </c:pt>
                <c:pt idx="164">
                  <c:v>2011-09</c:v>
                </c:pt>
                <c:pt idx="165">
                  <c:v>2011-10</c:v>
                </c:pt>
                <c:pt idx="166">
                  <c:v>2011-11</c:v>
                </c:pt>
                <c:pt idx="167">
                  <c:v>2011-12</c:v>
                </c:pt>
                <c:pt idx="168">
                  <c:v>2012-01</c:v>
                </c:pt>
                <c:pt idx="169">
                  <c:v>2012-02</c:v>
                </c:pt>
                <c:pt idx="170">
                  <c:v>2012-03</c:v>
                </c:pt>
                <c:pt idx="171">
                  <c:v>2012-04</c:v>
                </c:pt>
                <c:pt idx="172">
                  <c:v>2012-05</c:v>
                </c:pt>
                <c:pt idx="173">
                  <c:v>2012-06</c:v>
                </c:pt>
                <c:pt idx="174">
                  <c:v>2012-07</c:v>
                </c:pt>
                <c:pt idx="175">
                  <c:v>2012-08</c:v>
                </c:pt>
                <c:pt idx="176">
                  <c:v>2012-09</c:v>
                </c:pt>
                <c:pt idx="177">
                  <c:v>2012-10</c:v>
                </c:pt>
                <c:pt idx="178">
                  <c:v>2012-11</c:v>
                </c:pt>
                <c:pt idx="179">
                  <c:v>2012-12</c:v>
                </c:pt>
                <c:pt idx="180">
                  <c:v>2013-01</c:v>
                </c:pt>
                <c:pt idx="181">
                  <c:v>2013-02</c:v>
                </c:pt>
                <c:pt idx="182">
                  <c:v>2013-03</c:v>
                </c:pt>
                <c:pt idx="183">
                  <c:v>2013-04</c:v>
                </c:pt>
                <c:pt idx="184">
                  <c:v>2013-05</c:v>
                </c:pt>
                <c:pt idx="185">
                  <c:v>2013-06</c:v>
                </c:pt>
                <c:pt idx="186">
                  <c:v>2013-07</c:v>
                </c:pt>
                <c:pt idx="187">
                  <c:v>2013-08</c:v>
                </c:pt>
                <c:pt idx="188">
                  <c:v>2013-09</c:v>
                </c:pt>
                <c:pt idx="189">
                  <c:v>2013-10</c:v>
                </c:pt>
                <c:pt idx="190">
                  <c:v>2013-11</c:v>
                </c:pt>
                <c:pt idx="191">
                  <c:v>2013-12</c:v>
                </c:pt>
                <c:pt idx="192">
                  <c:v>2014-01</c:v>
                </c:pt>
                <c:pt idx="193">
                  <c:v>2014-02</c:v>
                </c:pt>
                <c:pt idx="194">
                  <c:v>2014-03</c:v>
                </c:pt>
                <c:pt idx="195">
                  <c:v>2014-04</c:v>
                </c:pt>
                <c:pt idx="196">
                  <c:v>2014-05</c:v>
                </c:pt>
                <c:pt idx="197">
                  <c:v>2014-06</c:v>
                </c:pt>
                <c:pt idx="198">
                  <c:v>2014-07</c:v>
                </c:pt>
                <c:pt idx="199">
                  <c:v>2014-08</c:v>
                </c:pt>
                <c:pt idx="200">
                  <c:v>2014-09</c:v>
                </c:pt>
                <c:pt idx="201">
                  <c:v>2014-10</c:v>
                </c:pt>
                <c:pt idx="202">
                  <c:v>2014-11</c:v>
                </c:pt>
                <c:pt idx="203">
                  <c:v>2014-12</c:v>
                </c:pt>
                <c:pt idx="204">
                  <c:v>2015-01</c:v>
                </c:pt>
                <c:pt idx="205">
                  <c:v>2015-02</c:v>
                </c:pt>
                <c:pt idx="206">
                  <c:v>2015-03</c:v>
                </c:pt>
                <c:pt idx="207">
                  <c:v>2015-04</c:v>
                </c:pt>
                <c:pt idx="208">
                  <c:v>2015-05</c:v>
                </c:pt>
                <c:pt idx="209">
                  <c:v>2015-06</c:v>
                </c:pt>
                <c:pt idx="210">
                  <c:v>2015-07</c:v>
                </c:pt>
                <c:pt idx="211">
                  <c:v>2015-08</c:v>
                </c:pt>
                <c:pt idx="212">
                  <c:v>2015-09</c:v>
                </c:pt>
                <c:pt idx="213">
                  <c:v>2015-10</c:v>
                </c:pt>
                <c:pt idx="214">
                  <c:v>2015-11</c:v>
                </c:pt>
                <c:pt idx="215">
                  <c:v>2015-12</c:v>
                </c:pt>
                <c:pt idx="216">
                  <c:v>2016-01</c:v>
                </c:pt>
                <c:pt idx="217">
                  <c:v>2016-02</c:v>
                </c:pt>
                <c:pt idx="218">
                  <c:v>2016-03</c:v>
                </c:pt>
                <c:pt idx="219">
                  <c:v>2016-04</c:v>
                </c:pt>
                <c:pt idx="220">
                  <c:v>2016-05</c:v>
                </c:pt>
                <c:pt idx="221">
                  <c:v>2016-06</c:v>
                </c:pt>
                <c:pt idx="222">
                  <c:v>2016-07</c:v>
                </c:pt>
                <c:pt idx="223">
                  <c:v>2016-08</c:v>
                </c:pt>
                <c:pt idx="224">
                  <c:v>2016-09</c:v>
                </c:pt>
                <c:pt idx="225">
                  <c:v>2016-10</c:v>
                </c:pt>
                <c:pt idx="226">
                  <c:v>2016-11</c:v>
                </c:pt>
                <c:pt idx="227">
                  <c:v>2016-12</c:v>
                </c:pt>
                <c:pt idx="228">
                  <c:v>2017-01</c:v>
                </c:pt>
                <c:pt idx="229">
                  <c:v>2017-02</c:v>
                </c:pt>
                <c:pt idx="230">
                  <c:v>2017-03</c:v>
                </c:pt>
                <c:pt idx="231">
                  <c:v>2017-04</c:v>
                </c:pt>
                <c:pt idx="232">
                  <c:v>2017-05</c:v>
                </c:pt>
                <c:pt idx="233">
                  <c:v>2017-06</c:v>
                </c:pt>
                <c:pt idx="234">
                  <c:v>2017-07</c:v>
                </c:pt>
                <c:pt idx="235">
                  <c:v>2017-08</c:v>
                </c:pt>
                <c:pt idx="236">
                  <c:v>2017-09</c:v>
                </c:pt>
                <c:pt idx="237">
                  <c:v>2017-10</c:v>
                </c:pt>
                <c:pt idx="238">
                  <c:v>2017-11</c:v>
                </c:pt>
                <c:pt idx="239">
                  <c:v>2017-12</c:v>
                </c:pt>
                <c:pt idx="240">
                  <c:v>2018-01</c:v>
                </c:pt>
                <c:pt idx="241">
                  <c:v>2018-02</c:v>
                </c:pt>
                <c:pt idx="242">
                  <c:v>2018-03</c:v>
                </c:pt>
                <c:pt idx="243">
                  <c:v>2018-04</c:v>
                </c:pt>
                <c:pt idx="244">
                  <c:v>2018-05</c:v>
                </c:pt>
                <c:pt idx="245">
                  <c:v>2018-06</c:v>
                </c:pt>
                <c:pt idx="246">
                  <c:v>2018-07</c:v>
                </c:pt>
                <c:pt idx="247">
                  <c:v>2018-08</c:v>
                </c:pt>
                <c:pt idx="248">
                  <c:v>2018-09</c:v>
                </c:pt>
                <c:pt idx="249">
                  <c:v>2018-10</c:v>
                </c:pt>
                <c:pt idx="250">
                  <c:v>2018-11</c:v>
                </c:pt>
                <c:pt idx="251">
                  <c:v>2018-12</c:v>
                </c:pt>
                <c:pt idx="252">
                  <c:v>2019-01</c:v>
                </c:pt>
                <c:pt idx="253">
                  <c:v>2019-02</c:v>
                </c:pt>
                <c:pt idx="254">
                  <c:v>2019-03</c:v>
                </c:pt>
                <c:pt idx="255">
                  <c:v>2019-04</c:v>
                </c:pt>
                <c:pt idx="256">
                  <c:v>2019-05</c:v>
                </c:pt>
                <c:pt idx="257">
                  <c:v>2019-06</c:v>
                </c:pt>
                <c:pt idx="258">
                  <c:v>2019-07</c:v>
                </c:pt>
                <c:pt idx="259">
                  <c:v>2019-08</c:v>
                </c:pt>
                <c:pt idx="260">
                  <c:v>2019-09</c:v>
                </c:pt>
                <c:pt idx="261">
                  <c:v>2019-10</c:v>
                </c:pt>
                <c:pt idx="262">
                  <c:v>2019-11</c:v>
                </c:pt>
                <c:pt idx="263">
                  <c:v>2019-12</c:v>
                </c:pt>
                <c:pt idx="264">
                  <c:v>2020-01</c:v>
                </c:pt>
                <c:pt idx="265">
                  <c:v>2020-02</c:v>
                </c:pt>
                <c:pt idx="266">
                  <c:v>2020-03</c:v>
                </c:pt>
                <c:pt idx="267">
                  <c:v>2020-04</c:v>
                </c:pt>
                <c:pt idx="268">
                  <c:v>2020-05</c:v>
                </c:pt>
                <c:pt idx="269">
                  <c:v>2020-06</c:v>
                </c:pt>
                <c:pt idx="270">
                  <c:v>2020-07</c:v>
                </c:pt>
                <c:pt idx="271">
                  <c:v>2020-08</c:v>
                </c:pt>
                <c:pt idx="272">
                  <c:v>2020-09</c:v>
                </c:pt>
                <c:pt idx="273">
                  <c:v>2020-10</c:v>
                </c:pt>
                <c:pt idx="274">
                  <c:v>2020-11</c:v>
                </c:pt>
                <c:pt idx="275">
                  <c:v>2020-12</c:v>
                </c:pt>
                <c:pt idx="276">
                  <c:v>2021-01</c:v>
                </c:pt>
                <c:pt idx="277">
                  <c:v>2021-02</c:v>
                </c:pt>
                <c:pt idx="278">
                  <c:v>2021-03</c:v>
                </c:pt>
                <c:pt idx="279">
                  <c:v>2021-04</c:v>
                </c:pt>
                <c:pt idx="280">
                  <c:v>2021-05</c:v>
                </c:pt>
                <c:pt idx="281">
                  <c:v>2021-06</c:v>
                </c:pt>
                <c:pt idx="282">
                  <c:v>2021-07</c:v>
                </c:pt>
                <c:pt idx="283">
                  <c:v>2021-08</c:v>
                </c:pt>
                <c:pt idx="284">
                  <c:v>2021-09</c:v>
                </c:pt>
                <c:pt idx="285">
                  <c:v>2021-10</c:v>
                </c:pt>
                <c:pt idx="286">
                  <c:v>2021-11</c:v>
                </c:pt>
                <c:pt idx="287">
                  <c:v>2021-12</c:v>
                </c:pt>
                <c:pt idx="288">
                  <c:v>2022-01</c:v>
                </c:pt>
                <c:pt idx="289">
                  <c:v>2022-02</c:v>
                </c:pt>
                <c:pt idx="290">
                  <c:v>2022-03</c:v>
                </c:pt>
                <c:pt idx="291">
                  <c:v>2022-04</c:v>
                </c:pt>
                <c:pt idx="292">
                  <c:v>2022-05</c:v>
                </c:pt>
                <c:pt idx="293">
                  <c:v>2022-06</c:v>
                </c:pt>
                <c:pt idx="294">
                  <c:v>2022-07</c:v>
                </c:pt>
                <c:pt idx="295">
                  <c:v>2022-08</c:v>
                </c:pt>
                <c:pt idx="296">
                  <c:v>2022-09</c:v>
                </c:pt>
                <c:pt idx="297">
                  <c:v>2022-10</c:v>
                </c:pt>
                <c:pt idx="298">
                  <c:v>2022-11</c:v>
                </c:pt>
                <c:pt idx="299">
                  <c:v>2022-12</c:v>
                </c:pt>
                <c:pt idx="300">
                  <c:v>2023-01</c:v>
                </c:pt>
                <c:pt idx="301">
                  <c:v>2023-02</c:v>
                </c:pt>
                <c:pt idx="302">
                  <c:v>2023-03</c:v>
                </c:pt>
                <c:pt idx="303">
                  <c:v>2023-04</c:v>
                </c:pt>
                <c:pt idx="304">
                  <c:v>2023-05</c:v>
                </c:pt>
                <c:pt idx="305">
                  <c:v>2023-06</c:v>
                </c:pt>
                <c:pt idx="306">
                  <c:v>2023-07</c:v>
                </c:pt>
                <c:pt idx="307">
                  <c:v>2023-08</c:v>
                </c:pt>
                <c:pt idx="308">
                  <c:v>2023-09</c:v>
                </c:pt>
                <c:pt idx="309">
                  <c:v>2023-10</c:v>
                </c:pt>
                <c:pt idx="310">
                  <c:v>2023-11</c:v>
                </c:pt>
                <c:pt idx="311">
                  <c:v>2023-12</c:v>
                </c:pt>
                <c:pt idx="312">
                  <c:v>2024-01</c:v>
                </c:pt>
                <c:pt idx="313">
                  <c:v>2024-02</c:v>
                </c:pt>
                <c:pt idx="314">
                  <c:v>2024-03</c:v>
                </c:pt>
                <c:pt idx="315">
                  <c:v>2024-04</c:v>
                </c:pt>
                <c:pt idx="316">
                  <c:v>2024-05</c:v>
                </c:pt>
                <c:pt idx="317">
                  <c:v>2024-06</c:v>
                </c:pt>
                <c:pt idx="318">
                  <c:v>2024-07</c:v>
                </c:pt>
                <c:pt idx="319">
                  <c:v>2024-08</c:v>
                </c:pt>
                <c:pt idx="320">
                  <c:v>2024-09</c:v>
                </c:pt>
                <c:pt idx="321">
                  <c:v>2024-10</c:v>
                </c:pt>
                <c:pt idx="322">
                  <c:v>2024-11</c:v>
                </c:pt>
                <c:pt idx="323">
                  <c:v>2024-12</c:v>
                </c:pt>
                <c:pt idx="324">
                  <c:v>2025-01</c:v>
                </c:pt>
                <c:pt idx="325">
                  <c:v>2025-02</c:v>
                </c:pt>
                <c:pt idx="326">
                  <c:v>2025-03</c:v>
                </c:pt>
                <c:pt idx="327">
                  <c:v>2025-04</c:v>
                </c:pt>
                <c:pt idx="328">
                  <c:v>2025-05</c:v>
                </c:pt>
                <c:pt idx="329">
                  <c:v>2025-06</c:v>
                </c:pt>
                <c:pt idx="330">
                  <c:v>2025-07</c:v>
                </c:pt>
                <c:pt idx="331">
                  <c:v>2025-08</c:v>
                </c:pt>
                <c:pt idx="332">
                  <c:v>2025-09</c:v>
                </c:pt>
              </c:strCache>
            </c:strRef>
          </c:cat>
          <c:val>
            <c:numRef>
              <c:f>Yap!$D$3:$D$335</c:f>
              <c:numCache>
                <c:formatCode>General</c:formatCode>
                <c:ptCount val="333"/>
                <c:pt idx="0">
                  <c:v>2.19916658799999</c:v>
                </c:pt>
                <c:pt idx="1">
                  <c:v>0.58999996700000001</c:v>
                </c:pt>
                <c:pt idx="2">
                  <c:v>0.37749998000000001</c:v>
                </c:pt>
                <c:pt idx="3">
                  <c:v>5.0566665889999998</c:v>
                </c:pt>
                <c:pt idx="4">
                  <c:v>6.2658332559999996</c:v>
                </c:pt>
                <c:pt idx="5">
                  <c:v>159.62417114100001</c:v>
                </c:pt>
                <c:pt idx="6">
                  <c:v>169.00916292699901</c:v>
                </c:pt>
                <c:pt idx="7">
                  <c:v>479.56248849899998</c:v>
                </c:pt>
                <c:pt idx="8">
                  <c:v>307.40167097699998</c:v>
                </c:pt>
                <c:pt idx="9">
                  <c:v>933.33000705500001</c:v>
                </c:pt>
                <c:pt idx="10">
                  <c:v>437.191664678</c:v>
                </c:pt>
                <c:pt idx="11">
                  <c:v>173.25082477800001</c:v>
                </c:pt>
                <c:pt idx="12">
                  <c:v>148.92249792600001</c:v>
                </c:pt>
                <c:pt idx="13">
                  <c:v>113.535827365999</c:v>
                </c:pt>
                <c:pt idx="14">
                  <c:v>7.8658331260000001</c:v>
                </c:pt>
                <c:pt idx="15">
                  <c:v>13.821666515999899</c:v>
                </c:pt>
                <c:pt idx="16">
                  <c:v>103.17916399299899</c:v>
                </c:pt>
                <c:pt idx="17">
                  <c:v>353.42915786700001</c:v>
                </c:pt>
                <c:pt idx="18">
                  <c:v>354.52748993799997</c:v>
                </c:pt>
                <c:pt idx="19">
                  <c:v>279.59165732600002</c:v>
                </c:pt>
                <c:pt idx="20">
                  <c:v>323.34748876399999</c:v>
                </c:pt>
                <c:pt idx="21">
                  <c:v>321.179995529</c:v>
                </c:pt>
                <c:pt idx="22">
                  <c:v>307.34832579099998</c:v>
                </c:pt>
                <c:pt idx="23">
                  <c:v>422.86249643799999</c:v>
                </c:pt>
                <c:pt idx="24">
                  <c:v>100.574993901</c:v>
                </c:pt>
                <c:pt idx="25">
                  <c:v>149.40832674699999</c:v>
                </c:pt>
                <c:pt idx="26">
                  <c:v>222.37166024499999</c:v>
                </c:pt>
                <c:pt idx="27">
                  <c:v>155.89999585000001</c:v>
                </c:pt>
                <c:pt idx="28">
                  <c:v>559.19248933300003</c:v>
                </c:pt>
                <c:pt idx="29">
                  <c:v>226.41249757</c:v>
                </c:pt>
                <c:pt idx="30">
                  <c:v>456.16499063399999</c:v>
                </c:pt>
                <c:pt idx="31">
                  <c:v>523.13664211299999</c:v>
                </c:pt>
                <c:pt idx="32">
                  <c:v>248.64666625000001</c:v>
                </c:pt>
                <c:pt idx="33">
                  <c:v>396.767488512</c:v>
                </c:pt>
                <c:pt idx="34">
                  <c:v>241.43249266000001</c:v>
                </c:pt>
                <c:pt idx="35">
                  <c:v>365.140829523999</c:v>
                </c:pt>
                <c:pt idx="36">
                  <c:v>70.953333283999996</c:v>
                </c:pt>
                <c:pt idx="37">
                  <c:v>69.234995069999997</c:v>
                </c:pt>
                <c:pt idx="38">
                  <c:v>152.350828377</c:v>
                </c:pt>
                <c:pt idx="39">
                  <c:v>68.536666652999997</c:v>
                </c:pt>
                <c:pt idx="40">
                  <c:v>294.089990126999</c:v>
                </c:pt>
                <c:pt idx="41">
                  <c:v>510.69332815899998</c:v>
                </c:pt>
                <c:pt idx="42">
                  <c:v>354.65999327499998</c:v>
                </c:pt>
                <c:pt idx="43">
                  <c:v>510.53748644500001</c:v>
                </c:pt>
                <c:pt idx="44">
                  <c:v>197.87249697599901</c:v>
                </c:pt>
                <c:pt idx="45">
                  <c:v>169.46332483999899</c:v>
                </c:pt>
                <c:pt idx="46">
                  <c:v>188.510831137</c:v>
                </c:pt>
                <c:pt idx="47">
                  <c:v>215.25082576400001</c:v>
                </c:pt>
                <c:pt idx="48">
                  <c:v>104.863330412</c:v>
                </c:pt>
                <c:pt idx="49">
                  <c:v>149.214167973</c:v>
                </c:pt>
                <c:pt idx="50">
                  <c:v>149.584162945</c:v>
                </c:pt>
                <c:pt idx="51">
                  <c:v>105.950831897</c:v>
                </c:pt>
                <c:pt idx="52">
                  <c:v>139.708327107</c:v>
                </c:pt>
                <c:pt idx="53">
                  <c:v>415.90581947700002</c:v>
                </c:pt>
                <c:pt idx="54">
                  <c:v>271.80499625900001</c:v>
                </c:pt>
                <c:pt idx="55">
                  <c:v>817.59080067599996</c:v>
                </c:pt>
                <c:pt idx="56">
                  <c:v>585.80165658700002</c:v>
                </c:pt>
                <c:pt idx="57">
                  <c:v>177.62249522499999</c:v>
                </c:pt>
                <c:pt idx="58">
                  <c:v>133.20999780700001</c:v>
                </c:pt>
                <c:pt idx="59">
                  <c:v>114.61500015999999</c:v>
                </c:pt>
                <c:pt idx="60">
                  <c:v>83.683332778999997</c:v>
                </c:pt>
                <c:pt idx="61">
                  <c:v>37.331666288999998</c:v>
                </c:pt>
                <c:pt idx="62">
                  <c:v>100.062496986</c:v>
                </c:pt>
                <c:pt idx="63">
                  <c:v>106.528329087</c:v>
                </c:pt>
                <c:pt idx="64">
                  <c:v>363.27332646899998</c:v>
                </c:pt>
                <c:pt idx="65">
                  <c:v>244.354159869</c:v>
                </c:pt>
                <c:pt idx="66">
                  <c:v>474.04664559299999</c:v>
                </c:pt>
                <c:pt idx="67">
                  <c:v>317.83582610000002</c:v>
                </c:pt>
                <c:pt idx="68">
                  <c:v>467.91915008699999</c:v>
                </c:pt>
                <c:pt idx="69">
                  <c:v>323.24165059000001</c:v>
                </c:pt>
                <c:pt idx="70">
                  <c:v>446.756677037999</c:v>
                </c:pt>
                <c:pt idx="71">
                  <c:v>266.74665908700001</c:v>
                </c:pt>
                <c:pt idx="72">
                  <c:v>126.331664425</c:v>
                </c:pt>
                <c:pt idx="73">
                  <c:v>99.025828595999997</c:v>
                </c:pt>
                <c:pt idx="74">
                  <c:v>266.12000114699998</c:v>
                </c:pt>
                <c:pt idx="75">
                  <c:v>327.374166059</c:v>
                </c:pt>
                <c:pt idx="76">
                  <c:v>288.23749299500003</c:v>
                </c:pt>
                <c:pt idx="77">
                  <c:v>337.62415466099998</c:v>
                </c:pt>
                <c:pt idx="78">
                  <c:v>187.07249441100001</c:v>
                </c:pt>
                <c:pt idx="79">
                  <c:v>442.107494917</c:v>
                </c:pt>
                <c:pt idx="80">
                  <c:v>182.18499610800001</c:v>
                </c:pt>
                <c:pt idx="81">
                  <c:v>243.93416353699999</c:v>
                </c:pt>
                <c:pt idx="82">
                  <c:v>518.13664091199996</c:v>
                </c:pt>
                <c:pt idx="83">
                  <c:v>73.859998611999998</c:v>
                </c:pt>
                <c:pt idx="84">
                  <c:v>150.41916601099999</c:v>
                </c:pt>
                <c:pt idx="85">
                  <c:v>27.475832478000001</c:v>
                </c:pt>
                <c:pt idx="86">
                  <c:v>80.329166956999998</c:v>
                </c:pt>
                <c:pt idx="87">
                  <c:v>336.133300502</c:v>
                </c:pt>
                <c:pt idx="88">
                  <c:v>170.17332473599899</c:v>
                </c:pt>
                <c:pt idx="89">
                  <c:v>299.357495277</c:v>
                </c:pt>
                <c:pt idx="90">
                  <c:v>470.31165158699997</c:v>
                </c:pt>
                <c:pt idx="91">
                  <c:v>431.36666030399999</c:v>
                </c:pt>
                <c:pt idx="92">
                  <c:v>417.29750452799999</c:v>
                </c:pt>
                <c:pt idx="93">
                  <c:v>166.23333099199999</c:v>
                </c:pt>
                <c:pt idx="94">
                  <c:v>148.00499504499999</c:v>
                </c:pt>
                <c:pt idx="95">
                  <c:v>323.40166578999998</c:v>
                </c:pt>
                <c:pt idx="96">
                  <c:v>113.30916645400001</c:v>
                </c:pt>
                <c:pt idx="97">
                  <c:v>127.222497977</c:v>
                </c:pt>
                <c:pt idx="98">
                  <c:v>203.271660639</c:v>
                </c:pt>
                <c:pt idx="99">
                  <c:v>42.782498506000003</c:v>
                </c:pt>
                <c:pt idx="100">
                  <c:v>292.966659956</c:v>
                </c:pt>
                <c:pt idx="101">
                  <c:v>249.186661378</c:v>
                </c:pt>
                <c:pt idx="102">
                  <c:v>447.59416577899998</c:v>
                </c:pt>
                <c:pt idx="103">
                  <c:v>349.17915891500002</c:v>
                </c:pt>
                <c:pt idx="104">
                  <c:v>293.35999515399999</c:v>
                </c:pt>
                <c:pt idx="105">
                  <c:v>187.56333075200001</c:v>
                </c:pt>
                <c:pt idx="106">
                  <c:v>123.257494382</c:v>
                </c:pt>
                <c:pt idx="107">
                  <c:v>415.77331571100001</c:v>
                </c:pt>
                <c:pt idx="108">
                  <c:v>137.433333637</c:v>
                </c:pt>
                <c:pt idx="109">
                  <c:v>58.505831536000002</c:v>
                </c:pt>
                <c:pt idx="110">
                  <c:v>146.44999827499899</c:v>
                </c:pt>
                <c:pt idx="111">
                  <c:v>129.88083239100001</c:v>
                </c:pt>
                <c:pt idx="112">
                  <c:v>358.75665799400002</c:v>
                </c:pt>
                <c:pt idx="113">
                  <c:v>219.73583175300001</c:v>
                </c:pt>
                <c:pt idx="114">
                  <c:v>328.93749863599999</c:v>
                </c:pt>
                <c:pt idx="115">
                  <c:v>326.70249150000001</c:v>
                </c:pt>
                <c:pt idx="116">
                  <c:v>582.22581078300004</c:v>
                </c:pt>
                <c:pt idx="117">
                  <c:v>256.504989932</c:v>
                </c:pt>
                <c:pt idx="118">
                  <c:v>364.26833174400002</c:v>
                </c:pt>
                <c:pt idx="119">
                  <c:v>232.43166074300001</c:v>
                </c:pt>
                <c:pt idx="120">
                  <c:v>112.648331072</c:v>
                </c:pt>
                <c:pt idx="121">
                  <c:v>131.719167559</c:v>
                </c:pt>
                <c:pt idx="122">
                  <c:v>66.023331275999993</c:v>
                </c:pt>
                <c:pt idx="123">
                  <c:v>121.616663872</c:v>
                </c:pt>
                <c:pt idx="124">
                  <c:v>271.28500047699998</c:v>
                </c:pt>
                <c:pt idx="125">
                  <c:v>135.05332711299999</c:v>
                </c:pt>
                <c:pt idx="126">
                  <c:v>216.151657207</c:v>
                </c:pt>
                <c:pt idx="127">
                  <c:v>334.636660667</c:v>
                </c:pt>
                <c:pt idx="128">
                  <c:v>652.98247414599996</c:v>
                </c:pt>
                <c:pt idx="129">
                  <c:v>210.694161941</c:v>
                </c:pt>
                <c:pt idx="130">
                  <c:v>170.744992663</c:v>
                </c:pt>
                <c:pt idx="131">
                  <c:v>153.62332940799999</c:v>
                </c:pt>
                <c:pt idx="132">
                  <c:v>160.54249924600001</c:v>
                </c:pt>
                <c:pt idx="133">
                  <c:v>242.446661135</c:v>
                </c:pt>
                <c:pt idx="134">
                  <c:v>59.502496938999997</c:v>
                </c:pt>
                <c:pt idx="135">
                  <c:v>226.58082133900001</c:v>
                </c:pt>
                <c:pt idx="136">
                  <c:v>165.11166245999999</c:v>
                </c:pt>
                <c:pt idx="137">
                  <c:v>220.463330208</c:v>
                </c:pt>
                <c:pt idx="138">
                  <c:v>414.92915173300003</c:v>
                </c:pt>
                <c:pt idx="139">
                  <c:v>376.396664364</c:v>
                </c:pt>
                <c:pt idx="140">
                  <c:v>396.15915690200001</c:v>
                </c:pt>
                <c:pt idx="141">
                  <c:v>178.98166138900001</c:v>
                </c:pt>
                <c:pt idx="142">
                  <c:v>240.50332418900001</c:v>
                </c:pt>
                <c:pt idx="143">
                  <c:v>47.584165787000003</c:v>
                </c:pt>
                <c:pt idx="144">
                  <c:v>100.99916251099999</c:v>
                </c:pt>
                <c:pt idx="145">
                  <c:v>28.177498706000002</c:v>
                </c:pt>
                <c:pt idx="146">
                  <c:v>162.951663483</c:v>
                </c:pt>
                <c:pt idx="147">
                  <c:v>181.56416261000001</c:v>
                </c:pt>
                <c:pt idx="148">
                  <c:v>99.610829155999994</c:v>
                </c:pt>
                <c:pt idx="149">
                  <c:v>222.89916664500001</c:v>
                </c:pt>
                <c:pt idx="150">
                  <c:v>335.89415868999998</c:v>
                </c:pt>
                <c:pt idx="151">
                  <c:v>381.34082559900003</c:v>
                </c:pt>
                <c:pt idx="152">
                  <c:v>225.19582531899999</c:v>
                </c:pt>
                <c:pt idx="153">
                  <c:v>388.25998916399999</c:v>
                </c:pt>
                <c:pt idx="154">
                  <c:v>205.89666045999999</c:v>
                </c:pt>
                <c:pt idx="155">
                  <c:v>163.994998737</c:v>
                </c:pt>
                <c:pt idx="156">
                  <c:v>300.59083798799998</c:v>
                </c:pt>
                <c:pt idx="157">
                  <c:v>149.60083452500001</c:v>
                </c:pt>
                <c:pt idx="158">
                  <c:v>192.90833418099999</c:v>
                </c:pt>
                <c:pt idx="159">
                  <c:v>240.14999425299999</c:v>
                </c:pt>
                <c:pt idx="160">
                  <c:v>469.472487247</c:v>
                </c:pt>
                <c:pt idx="161">
                  <c:v>400.32333192099998</c:v>
                </c:pt>
                <c:pt idx="162">
                  <c:v>412.45499415799998</c:v>
                </c:pt>
                <c:pt idx="163">
                  <c:v>537.12331307099998</c:v>
                </c:pt>
                <c:pt idx="164">
                  <c:v>487.334990656</c:v>
                </c:pt>
                <c:pt idx="165">
                  <c:v>234.99249412699999</c:v>
                </c:pt>
                <c:pt idx="166">
                  <c:v>309.844172675999</c:v>
                </c:pt>
                <c:pt idx="167">
                  <c:v>175.93083101400001</c:v>
                </c:pt>
                <c:pt idx="168">
                  <c:v>37.444999348000003</c:v>
                </c:pt>
                <c:pt idx="169">
                  <c:v>154.91916413199999</c:v>
                </c:pt>
                <c:pt idx="170">
                  <c:v>197.232496521</c:v>
                </c:pt>
                <c:pt idx="171">
                  <c:v>48.783331930999999</c:v>
                </c:pt>
                <c:pt idx="172">
                  <c:v>266.29999167199998</c:v>
                </c:pt>
                <c:pt idx="173">
                  <c:v>409.22164918700003</c:v>
                </c:pt>
                <c:pt idx="174">
                  <c:v>277.52999683299998</c:v>
                </c:pt>
                <c:pt idx="175">
                  <c:v>529.43498653400002</c:v>
                </c:pt>
                <c:pt idx="176">
                  <c:v>795.00498416400001</c:v>
                </c:pt>
                <c:pt idx="177">
                  <c:v>391.36497533099998</c:v>
                </c:pt>
                <c:pt idx="178">
                  <c:v>206.46334133100001</c:v>
                </c:pt>
                <c:pt idx="179">
                  <c:v>157.72583543299999</c:v>
                </c:pt>
                <c:pt idx="180">
                  <c:v>81.623330988999996</c:v>
                </c:pt>
                <c:pt idx="181">
                  <c:v>58.807499217</c:v>
                </c:pt>
                <c:pt idx="182">
                  <c:v>132.84833291499999</c:v>
                </c:pt>
                <c:pt idx="183">
                  <c:v>34.717499904999997</c:v>
                </c:pt>
                <c:pt idx="184">
                  <c:v>109.47166446999999</c:v>
                </c:pt>
                <c:pt idx="185">
                  <c:v>262.68582594600002</c:v>
                </c:pt>
                <c:pt idx="186">
                  <c:v>321.654996869</c:v>
                </c:pt>
                <c:pt idx="187">
                  <c:v>307.06165805299997</c:v>
                </c:pt>
                <c:pt idx="188">
                  <c:v>496.424991607999</c:v>
                </c:pt>
                <c:pt idx="189">
                  <c:v>420.08165173700002</c:v>
                </c:pt>
                <c:pt idx="190">
                  <c:v>139.437498503</c:v>
                </c:pt>
                <c:pt idx="191">
                  <c:v>86.612498470999995</c:v>
                </c:pt>
                <c:pt idx="192">
                  <c:v>384.21748288499998</c:v>
                </c:pt>
                <c:pt idx="193">
                  <c:v>63.701666449000001</c:v>
                </c:pt>
                <c:pt idx="194">
                  <c:v>149.289996229</c:v>
                </c:pt>
                <c:pt idx="195">
                  <c:v>235.374157273999</c:v>
                </c:pt>
                <c:pt idx="196">
                  <c:v>83.179165428000005</c:v>
                </c:pt>
                <c:pt idx="197">
                  <c:v>225.73999561299999</c:v>
                </c:pt>
                <c:pt idx="198">
                  <c:v>542.77998775799995</c:v>
                </c:pt>
                <c:pt idx="199">
                  <c:v>291.65165965</c:v>
                </c:pt>
                <c:pt idx="200">
                  <c:v>538.33582833100002</c:v>
                </c:pt>
                <c:pt idx="201">
                  <c:v>331.53164957299998</c:v>
                </c:pt>
                <c:pt idx="202">
                  <c:v>87.689163066999996</c:v>
                </c:pt>
                <c:pt idx="203">
                  <c:v>293.76082635799997</c:v>
                </c:pt>
                <c:pt idx="204">
                  <c:v>120.68999877</c:v>
                </c:pt>
                <c:pt idx="205">
                  <c:v>71.277496194999998</c:v>
                </c:pt>
                <c:pt idx="206">
                  <c:v>189.25583525899901</c:v>
                </c:pt>
                <c:pt idx="207">
                  <c:v>115.547497333</c:v>
                </c:pt>
                <c:pt idx="208">
                  <c:v>323.704157481999</c:v>
                </c:pt>
                <c:pt idx="209">
                  <c:v>159.03083111500001</c:v>
                </c:pt>
                <c:pt idx="210">
                  <c:v>364.54915848100001</c:v>
                </c:pt>
                <c:pt idx="211">
                  <c:v>277.81332342500002</c:v>
                </c:pt>
                <c:pt idx="212">
                  <c:v>278.75999504700002</c:v>
                </c:pt>
                <c:pt idx="213">
                  <c:v>56.489999367999999</c:v>
                </c:pt>
                <c:pt idx="214">
                  <c:v>50.638332065</c:v>
                </c:pt>
                <c:pt idx="215">
                  <c:v>78.370830146999893</c:v>
                </c:pt>
                <c:pt idx="216">
                  <c:v>19.030832867000001</c:v>
                </c:pt>
                <c:pt idx="217">
                  <c:v>15.414166521</c:v>
                </c:pt>
                <c:pt idx="218">
                  <c:v>7.2424998399999998</c:v>
                </c:pt>
                <c:pt idx="219">
                  <c:v>76.704165868999993</c:v>
                </c:pt>
                <c:pt idx="220">
                  <c:v>220.234159922</c:v>
                </c:pt>
                <c:pt idx="221">
                  <c:v>87.184163278</c:v>
                </c:pt>
                <c:pt idx="222">
                  <c:v>170.84499515900001</c:v>
                </c:pt>
                <c:pt idx="223">
                  <c:v>278.11332466300001</c:v>
                </c:pt>
                <c:pt idx="224">
                  <c:v>250.678325774</c:v>
                </c:pt>
                <c:pt idx="225">
                  <c:v>628.62747246699996</c:v>
                </c:pt>
                <c:pt idx="226">
                  <c:v>425.834148008</c:v>
                </c:pt>
                <c:pt idx="227">
                  <c:v>206.31582747499999</c:v>
                </c:pt>
                <c:pt idx="228">
                  <c:v>211.32832706400001</c:v>
                </c:pt>
                <c:pt idx="229">
                  <c:v>498.15915675799999</c:v>
                </c:pt>
                <c:pt idx="230">
                  <c:v>251.43998560899999</c:v>
                </c:pt>
                <c:pt idx="231">
                  <c:v>83.316664364999994</c:v>
                </c:pt>
                <c:pt idx="232">
                  <c:v>80.714996224999993</c:v>
                </c:pt>
                <c:pt idx="233">
                  <c:v>161.806663789</c:v>
                </c:pt>
                <c:pt idx="234">
                  <c:v>400.98833365000002</c:v>
                </c:pt>
                <c:pt idx="235">
                  <c:v>232.7533325</c:v>
                </c:pt>
                <c:pt idx="236">
                  <c:v>236.624161929</c:v>
                </c:pt>
                <c:pt idx="237">
                  <c:v>575.769159231</c:v>
                </c:pt>
                <c:pt idx="238">
                  <c:v>205.63416208300001</c:v>
                </c:pt>
                <c:pt idx="239">
                  <c:v>455.452480446999</c:v>
                </c:pt>
                <c:pt idx="240">
                  <c:v>222.54582914100001</c:v>
                </c:pt>
                <c:pt idx="241">
                  <c:v>153.20916036700001</c:v>
                </c:pt>
                <c:pt idx="242">
                  <c:v>262.95499506300001</c:v>
                </c:pt>
                <c:pt idx="243">
                  <c:v>41.680832631999998</c:v>
                </c:pt>
                <c:pt idx="244">
                  <c:v>117.448330082</c:v>
                </c:pt>
                <c:pt idx="245">
                  <c:v>327.30498753500001</c:v>
                </c:pt>
                <c:pt idx="246">
                  <c:v>359.38915784800002</c:v>
                </c:pt>
                <c:pt idx="247">
                  <c:v>296.85831826999998</c:v>
                </c:pt>
                <c:pt idx="248">
                  <c:v>365.28332087199999</c:v>
                </c:pt>
                <c:pt idx="249">
                  <c:v>56.927496986999998</c:v>
                </c:pt>
                <c:pt idx="250">
                  <c:v>155.27833219999999</c:v>
                </c:pt>
                <c:pt idx="251">
                  <c:v>176.66416363599899</c:v>
                </c:pt>
                <c:pt idx="252">
                  <c:v>176.635827514</c:v>
                </c:pt>
                <c:pt idx="253">
                  <c:v>13.511666098999999</c:v>
                </c:pt>
                <c:pt idx="254">
                  <c:v>35.300833154000003</c:v>
                </c:pt>
                <c:pt idx="255">
                  <c:v>36.381665630999997</c:v>
                </c:pt>
                <c:pt idx="256">
                  <c:v>160.869997262</c:v>
                </c:pt>
                <c:pt idx="257">
                  <c:v>228.370000237</c:v>
                </c:pt>
                <c:pt idx="258">
                  <c:v>274.91749424599999</c:v>
                </c:pt>
                <c:pt idx="259">
                  <c:v>170.48583006300001</c:v>
                </c:pt>
                <c:pt idx="260">
                  <c:v>215.439998699</c:v>
                </c:pt>
                <c:pt idx="261">
                  <c:v>148.08999735200001</c:v>
                </c:pt>
                <c:pt idx="262">
                  <c:v>178.144160755</c:v>
                </c:pt>
                <c:pt idx="263">
                  <c:v>172.84916583399999</c:v>
                </c:pt>
                <c:pt idx="264">
                  <c:v>47.260000042000001</c:v>
                </c:pt>
                <c:pt idx="265">
                  <c:v>33.686665650000002</c:v>
                </c:pt>
                <c:pt idx="266">
                  <c:v>30.919999185999998</c:v>
                </c:pt>
                <c:pt idx="267">
                  <c:v>70.062499295999999</c:v>
                </c:pt>
                <c:pt idx="268">
                  <c:v>212.84332901400001</c:v>
                </c:pt>
                <c:pt idx="269">
                  <c:v>293.53166100200002</c:v>
                </c:pt>
                <c:pt idx="270">
                  <c:v>171.00166372699999</c:v>
                </c:pt>
                <c:pt idx="271">
                  <c:v>291.627496619</c:v>
                </c:pt>
                <c:pt idx="272">
                  <c:v>190.56249790800001</c:v>
                </c:pt>
                <c:pt idx="273">
                  <c:v>216.38833640199999</c:v>
                </c:pt>
                <c:pt idx="274">
                  <c:v>343.46832835800001</c:v>
                </c:pt>
                <c:pt idx="275">
                  <c:v>309.55665703199998</c:v>
                </c:pt>
                <c:pt idx="276">
                  <c:v>131.08666531399999</c:v>
                </c:pt>
                <c:pt idx="277">
                  <c:v>140.15833394800001</c:v>
                </c:pt>
                <c:pt idx="278">
                  <c:v>170.99666254799999</c:v>
                </c:pt>
                <c:pt idx="279">
                  <c:v>334.11081796899998</c:v>
                </c:pt>
                <c:pt idx="280">
                  <c:v>187.268328236</c:v>
                </c:pt>
                <c:pt idx="281">
                  <c:v>209.01333030399999</c:v>
                </c:pt>
                <c:pt idx="282">
                  <c:v>204.73166374499999</c:v>
                </c:pt>
                <c:pt idx="283">
                  <c:v>193.043331233</c:v>
                </c:pt>
                <c:pt idx="284">
                  <c:v>263.05499486399998</c:v>
                </c:pt>
                <c:pt idx="285">
                  <c:v>309.47916603800002</c:v>
                </c:pt>
                <c:pt idx="286">
                  <c:v>103.654998807</c:v>
                </c:pt>
                <c:pt idx="287">
                  <c:v>286.62165683299997</c:v>
                </c:pt>
                <c:pt idx="288">
                  <c:v>169.74916339000001</c:v>
                </c:pt>
                <c:pt idx="289">
                  <c:v>111.605828614</c:v>
                </c:pt>
                <c:pt idx="290">
                  <c:v>133.586663735</c:v>
                </c:pt>
                <c:pt idx="291">
                  <c:v>368.13750321399999</c:v>
                </c:pt>
                <c:pt idx="292">
                  <c:v>338.24249304199998</c:v>
                </c:pt>
                <c:pt idx="293">
                  <c:v>151.82249827499999</c:v>
                </c:pt>
                <c:pt idx="294">
                  <c:v>300.26832245499997</c:v>
                </c:pt>
                <c:pt idx="295">
                  <c:v>192.70916030000001</c:v>
                </c:pt>
                <c:pt idx="296">
                  <c:v>245.97249911599999</c:v>
                </c:pt>
                <c:pt idx="297">
                  <c:v>896.79996858499999</c:v>
                </c:pt>
                <c:pt idx="298">
                  <c:v>145.40082972100001</c:v>
                </c:pt>
                <c:pt idx="299">
                  <c:v>127.835830374</c:v>
                </c:pt>
                <c:pt idx="300">
                  <c:v>270.17332685899999</c:v>
                </c:pt>
                <c:pt idx="301">
                  <c:v>113.34666254699999</c:v>
                </c:pt>
                <c:pt idx="302">
                  <c:v>47.806665645000002</c:v>
                </c:pt>
                <c:pt idx="303">
                  <c:v>162.73249369999999</c:v>
                </c:pt>
                <c:pt idx="304">
                  <c:v>199.80917148099999</c:v>
                </c:pt>
                <c:pt idx="305">
                  <c:v>242.516659745</c:v>
                </c:pt>
                <c:pt idx="306">
                  <c:v>644.39997848400003</c:v>
                </c:pt>
                <c:pt idx="307">
                  <c:v>676.00665172599997</c:v>
                </c:pt>
                <c:pt idx="308">
                  <c:v>288.16499596199998</c:v>
                </c:pt>
                <c:pt idx="309">
                  <c:v>160.026662485</c:v>
                </c:pt>
                <c:pt idx="310">
                  <c:v>181.03915766399999</c:v>
                </c:pt>
                <c:pt idx="311">
                  <c:v>46.265000153999999</c:v>
                </c:pt>
                <c:pt idx="312">
                  <c:v>141.26999372399999</c:v>
                </c:pt>
                <c:pt idx="313">
                  <c:v>30.068334055999902</c:v>
                </c:pt>
                <c:pt idx="314">
                  <c:v>14.095833146</c:v>
                </c:pt>
                <c:pt idx="315">
                  <c:v>31.779999011999902</c:v>
                </c:pt>
                <c:pt idx="316">
                  <c:v>167.567495638</c:v>
                </c:pt>
                <c:pt idx="317">
                  <c:v>177.29832916699999</c:v>
                </c:pt>
                <c:pt idx="318">
                  <c:v>508.47582741600002</c:v>
                </c:pt>
                <c:pt idx="319">
                  <c:v>251.285826563</c:v>
                </c:pt>
                <c:pt idx="320">
                  <c:v>804.72497432299997</c:v>
                </c:pt>
                <c:pt idx="321">
                  <c:v>511.42497959299999</c:v>
                </c:pt>
                <c:pt idx="322">
                  <c:v>373.23165580199998</c:v>
                </c:pt>
                <c:pt idx="323">
                  <c:v>73.384998496999998</c:v>
                </c:pt>
                <c:pt idx="324">
                  <c:v>92.448330282000001</c:v>
                </c:pt>
                <c:pt idx="325">
                  <c:v>81.604166762000006</c:v>
                </c:pt>
                <c:pt idx="326">
                  <c:v>77.526667423000006</c:v>
                </c:pt>
                <c:pt idx="327">
                  <c:v>73.153333959999998</c:v>
                </c:pt>
                <c:pt idx="328">
                  <c:v>233.66666630999899</c:v>
                </c:pt>
                <c:pt idx="329">
                  <c:v>324.70582384800002</c:v>
                </c:pt>
                <c:pt idx="330">
                  <c:v>173.299162303</c:v>
                </c:pt>
                <c:pt idx="331">
                  <c:v>291.90416458200002</c:v>
                </c:pt>
                <c:pt idx="332">
                  <c:v>298.31499216399999</c:v>
                </c:pt>
              </c:numCache>
            </c:numRef>
          </c:val>
          <c:extLst>
            <c:ext xmlns:c16="http://schemas.microsoft.com/office/drawing/2014/chart" uri="{C3380CC4-5D6E-409C-BE32-E72D297353CC}">
              <c16:uniqueId val="{00000000-DE4D-4250-A819-5261103BA2BD}"/>
            </c:ext>
          </c:extLst>
        </c:ser>
        <c:dLbls>
          <c:showLegendKey val="0"/>
          <c:showVal val="0"/>
          <c:showCatName val="0"/>
          <c:showSerName val="0"/>
          <c:showPercent val="0"/>
          <c:showBubbleSize val="0"/>
        </c:dLbls>
        <c:gapWidth val="150"/>
        <c:axId val="1672825040"/>
        <c:axId val="1672797200"/>
      </c:barChart>
      <c:catAx>
        <c:axId val="1672825040"/>
        <c:scaling>
          <c:orientation val="minMax"/>
        </c:scaling>
        <c:delete val="0"/>
        <c:axPos val="b"/>
        <c:title>
          <c:tx>
            <c:rich>
              <a:bodyPr rot="0" spcFirstLastPara="1" vertOverflow="ellipsis" vert="horz" wrap="square" anchor="ctr" anchorCtr="1"/>
              <a:lstStyle/>
              <a:p>
                <a:pPr>
                  <a:defRPr sz="1200" b="0" i="0" u="none" strike="noStrike" kern="1200" baseline="0">
                    <a:solidFill>
                      <a:schemeClr val="tx1">
                        <a:lumMod val="65000"/>
                        <a:lumOff val="35000"/>
                      </a:schemeClr>
                    </a:solidFill>
                    <a:latin typeface="Univers 57 Condensed" pitchFamily="50" charset="0"/>
                    <a:ea typeface="+mn-ea"/>
                    <a:cs typeface="+mn-cs"/>
                  </a:defRPr>
                </a:pPr>
                <a:r>
                  <a:rPr lang="en-US" sz="1200">
                    <a:latin typeface="Univers 57 Condensed" pitchFamily="50" charset="0"/>
                  </a:rPr>
                  <a:t>year-month</a:t>
                </a:r>
              </a:p>
            </c:rich>
          </c:tx>
          <c:overlay val="0"/>
          <c:spPr>
            <a:noFill/>
            <a:ln>
              <a:noFill/>
            </a:ln>
            <a:effectLst/>
          </c:spPr>
          <c:txPr>
            <a:bodyPr rot="0" spcFirstLastPara="1" vertOverflow="ellipsis" vert="horz" wrap="square" anchor="ctr" anchorCtr="1"/>
            <a:lstStyle/>
            <a:p>
              <a:pPr>
                <a:defRPr sz="1200" b="0" i="0" u="none" strike="noStrike" kern="1200" baseline="0">
                  <a:solidFill>
                    <a:schemeClr val="tx1">
                      <a:lumMod val="65000"/>
                      <a:lumOff val="35000"/>
                    </a:schemeClr>
                  </a:solidFill>
                  <a:latin typeface="Univers 57 Condensed" pitchFamily="50" charset="0"/>
                  <a:ea typeface="+mn-ea"/>
                  <a:cs typeface="+mn-cs"/>
                </a:defRPr>
              </a:pPr>
              <a:endParaRPr lang="en-US"/>
            </a:p>
          </c:txPr>
        </c:title>
        <c:numFmt formatCode="General" sourceLinked="1"/>
        <c:majorTickMark val="out"/>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200" b="0" i="0" u="none" strike="noStrike" kern="1200" baseline="0">
                <a:solidFill>
                  <a:schemeClr val="tx1">
                    <a:lumMod val="65000"/>
                    <a:lumOff val="35000"/>
                  </a:schemeClr>
                </a:solidFill>
                <a:latin typeface="Univers 57 Condensed" pitchFamily="50" charset="0"/>
                <a:ea typeface="+mn-ea"/>
                <a:cs typeface="+mn-cs"/>
              </a:defRPr>
            </a:pPr>
            <a:endParaRPr lang="en-US"/>
          </a:p>
        </c:txPr>
        <c:crossAx val="1672797200"/>
        <c:crosses val="autoZero"/>
        <c:auto val="1"/>
        <c:lblAlgn val="ctr"/>
        <c:lblOffset val="100"/>
        <c:noMultiLvlLbl val="0"/>
      </c:catAx>
      <c:valAx>
        <c:axId val="1672797200"/>
        <c:scaling>
          <c:orientation val="minMax"/>
        </c:scaling>
        <c:delete val="0"/>
        <c:axPos val="l"/>
        <c:majorGridlines>
          <c:spPr>
            <a:ln w="9525" cap="flat" cmpd="sng" algn="ctr">
              <a:solidFill>
                <a:schemeClr val="bg1">
                  <a:lumMod val="75000"/>
                </a:schemeClr>
              </a:solidFill>
              <a:round/>
            </a:ln>
            <a:effectLst/>
          </c:spPr>
        </c:majorGridlines>
        <c:title>
          <c:tx>
            <c:rich>
              <a:bodyPr rot="-5400000" spcFirstLastPara="1" vertOverflow="ellipsis" vert="horz" wrap="square" anchor="ctr" anchorCtr="1"/>
              <a:lstStyle/>
              <a:p>
                <a:pPr>
                  <a:defRPr sz="1200" b="0" i="0" u="none" strike="noStrike" kern="1200" baseline="0">
                    <a:solidFill>
                      <a:schemeClr val="tx1">
                        <a:lumMod val="65000"/>
                        <a:lumOff val="35000"/>
                      </a:schemeClr>
                    </a:solidFill>
                    <a:latin typeface="Univers 57 Condensed" pitchFamily="50" charset="0"/>
                    <a:ea typeface="+mn-ea"/>
                    <a:cs typeface="+mn-cs"/>
                  </a:defRPr>
                </a:pPr>
                <a:r>
                  <a:rPr lang="en-US" sz="1200">
                    <a:latin typeface="Univers 57 Condensed" pitchFamily="50" charset="0"/>
                  </a:rPr>
                  <a:t>P (mm)</a:t>
                </a:r>
              </a:p>
            </c:rich>
          </c:tx>
          <c:overlay val="0"/>
          <c:spPr>
            <a:noFill/>
            <a:ln>
              <a:noFill/>
            </a:ln>
            <a:effectLst/>
          </c:spPr>
          <c:txPr>
            <a:bodyPr rot="-5400000" spcFirstLastPara="1" vertOverflow="ellipsis" vert="horz" wrap="square" anchor="ctr" anchorCtr="1"/>
            <a:lstStyle/>
            <a:p>
              <a:pPr>
                <a:defRPr sz="1200" b="0" i="0" u="none" strike="noStrike" kern="1200" baseline="0">
                  <a:solidFill>
                    <a:schemeClr val="tx1">
                      <a:lumMod val="65000"/>
                      <a:lumOff val="35000"/>
                    </a:schemeClr>
                  </a:solidFill>
                  <a:latin typeface="Univers 57 Condensed" pitchFamily="50" charset="0"/>
                  <a:ea typeface="+mn-ea"/>
                  <a:cs typeface="+mn-cs"/>
                </a:defRPr>
              </a:pPr>
              <a:endParaRPr lang="en-US"/>
            </a:p>
          </c:txPr>
        </c:title>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1200" b="0" i="0" u="none" strike="noStrike" kern="1200" baseline="0">
                <a:solidFill>
                  <a:schemeClr val="tx1">
                    <a:lumMod val="65000"/>
                    <a:lumOff val="35000"/>
                  </a:schemeClr>
                </a:solidFill>
                <a:latin typeface="Univers 57 Condensed" pitchFamily="50" charset="0"/>
                <a:ea typeface="+mn-ea"/>
                <a:cs typeface="+mn-cs"/>
              </a:defRPr>
            </a:pPr>
            <a:endParaRPr lang="en-US"/>
          </a:p>
        </c:txPr>
        <c:crossAx val="1672825040"/>
        <c:crosses val="autoZero"/>
        <c:crossBetween val="between"/>
      </c:valAx>
      <c:spPr>
        <a:noFill/>
        <a:ln>
          <a:solidFill>
            <a:schemeClr val="bg1">
              <a:lumMod val="75000"/>
            </a:schemeClr>
          </a:solid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a:pPr>
      <a:endParaRPr lang="en-US"/>
    </a:p>
  </c:txPr>
  <c:externalData r:id="rId3">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2177021768326131"/>
          <c:y val="0.12210408505875769"/>
          <c:w val="0.85042448149976013"/>
          <c:h val="0.69859106763710821"/>
        </c:manualLayout>
      </c:layout>
      <c:barChart>
        <c:barDir val="col"/>
        <c:grouping val="clustered"/>
        <c:varyColors val="0"/>
        <c:ser>
          <c:idx val="0"/>
          <c:order val="0"/>
          <c:spPr>
            <a:solidFill>
              <a:schemeClr val="tx2">
                <a:lumMod val="40000"/>
                <a:lumOff val="60000"/>
              </a:schemeClr>
            </a:solidFill>
            <a:ln>
              <a:solidFill>
                <a:schemeClr val="bg1">
                  <a:lumMod val="95000"/>
                </a:schemeClr>
              </a:solidFill>
            </a:ln>
            <a:effectLst/>
          </c:spPr>
          <c:invertIfNegative val="0"/>
          <c:dLbls>
            <c:delete val="1"/>
          </c:dLbls>
          <c:cat>
            <c:numRef>
              <c:f>Yap!$L$3:$L$29</c:f>
              <c:numCache>
                <c:formatCode>General</c:formatCode>
                <c:ptCount val="27"/>
                <c:pt idx="0">
                  <c:v>1998</c:v>
                </c:pt>
                <c:pt idx="1">
                  <c:v>1999</c:v>
                </c:pt>
                <c:pt idx="2">
                  <c:v>2000</c:v>
                </c:pt>
                <c:pt idx="3">
                  <c:v>2001</c:v>
                </c:pt>
                <c:pt idx="4">
                  <c:v>2002</c:v>
                </c:pt>
                <c:pt idx="5">
                  <c:v>2003</c:v>
                </c:pt>
                <c:pt idx="6">
                  <c:v>2004</c:v>
                </c:pt>
                <c:pt idx="7">
                  <c:v>2005</c:v>
                </c:pt>
                <c:pt idx="8">
                  <c:v>2006</c:v>
                </c:pt>
                <c:pt idx="9">
                  <c:v>2007</c:v>
                </c:pt>
                <c:pt idx="10">
                  <c:v>2008</c:v>
                </c:pt>
                <c:pt idx="11">
                  <c:v>2009</c:v>
                </c:pt>
                <c:pt idx="12">
                  <c:v>2010</c:v>
                </c:pt>
                <c:pt idx="13">
                  <c:v>2011</c:v>
                </c:pt>
                <c:pt idx="14">
                  <c:v>2012</c:v>
                </c:pt>
                <c:pt idx="15">
                  <c:v>2013</c:v>
                </c:pt>
                <c:pt idx="16">
                  <c:v>2014</c:v>
                </c:pt>
                <c:pt idx="17">
                  <c:v>2015</c:v>
                </c:pt>
                <c:pt idx="18">
                  <c:v>2016</c:v>
                </c:pt>
                <c:pt idx="19">
                  <c:v>2017</c:v>
                </c:pt>
                <c:pt idx="20">
                  <c:v>2018</c:v>
                </c:pt>
                <c:pt idx="21">
                  <c:v>2019</c:v>
                </c:pt>
                <c:pt idx="22">
                  <c:v>2020</c:v>
                </c:pt>
                <c:pt idx="23">
                  <c:v>2021</c:v>
                </c:pt>
                <c:pt idx="24">
                  <c:v>2022</c:v>
                </c:pt>
                <c:pt idx="25">
                  <c:v>2023</c:v>
                </c:pt>
                <c:pt idx="26">
                  <c:v>2024</c:v>
                </c:pt>
              </c:numCache>
            </c:numRef>
          </c:cat>
          <c:val>
            <c:numRef>
              <c:f>Yap!$M$3:$M$29</c:f>
              <c:numCache>
                <c:formatCode>General</c:formatCode>
                <c:ptCount val="27"/>
                <c:pt idx="0">
                  <c:v>2673.8591564349999</c:v>
                </c:pt>
                <c:pt idx="1">
                  <c:v>2749.61160058</c:v>
                </c:pt>
                <c:pt idx="2">
                  <c:v>3645.1490733390001</c:v>
                </c:pt>
                <c:pt idx="3">
                  <c:v>2802.154100107</c:v>
                </c:pt>
                <c:pt idx="4">
                  <c:v>3165.8715865250001</c:v>
                </c:pt>
                <c:pt idx="5">
                  <c:v>3231.7799199740002</c:v>
                </c:pt>
                <c:pt idx="6">
                  <c:v>3092.0090963799998</c:v>
                </c:pt>
                <c:pt idx="7">
                  <c:v>3020.504094207</c:v>
                </c:pt>
                <c:pt idx="8">
                  <c:v>2845.4666056030001</c:v>
                </c:pt>
                <c:pt idx="9">
                  <c:v>3141.8332689240001</c:v>
                </c:pt>
                <c:pt idx="10">
                  <c:v>2577.179097401</c:v>
                </c:pt>
                <c:pt idx="11">
                  <c:v>2729.201595691</c:v>
                </c:pt>
                <c:pt idx="12">
                  <c:v>2496.78494108</c:v>
                </c:pt>
                <c:pt idx="13">
                  <c:v>3910.726615817</c:v>
                </c:pt>
                <c:pt idx="14">
                  <c:v>3471.4257524169998</c:v>
                </c:pt>
                <c:pt idx="15">
                  <c:v>2451.427448683</c:v>
                </c:pt>
                <c:pt idx="16">
                  <c:v>3227.2515786150002</c:v>
                </c:pt>
                <c:pt idx="17">
                  <c:v>2086.127454687</c:v>
                </c:pt>
                <c:pt idx="18">
                  <c:v>2386.224081843</c:v>
                </c:pt>
                <c:pt idx="19">
                  <c:v>3393.98742365</c:v>
                </c:pt>
                <c:pt idx="20">
                  <c:v>2535.5449246329999</c:v>
                </c:pt>
                <c:pt idx="21">
                  <c:v>1810.996636846</c:v>
                </c:pt>
                <c:pt idx="22">
                  <c:v>2210.9091342359902</c:v>
                </c:pt>
                <c:pt idx="23">
                  <c:v>2533.219949839</c:v>
                </c:pt>
                <c:pt idx="24">
                  <c:v>3182.130760821</c:v>
                </c:pt>
                <c:pt idx="25">
                  <c:v>3032.2874264520001</c:v>
                </c:pt>
                <c:pt idx="26">
                  <c:v>3084.6082469369999</c:v>
                </c:pt>
              </c:numCache>
            </c:numRef>
          </c:val>
          <c:extLst>
            <c:ext xmlns:c16="http://schemas.microsoft.com/office/drawing/2014/chart" uri="{C3380CC4-5D6E-409C-BE32-E72D297353CC}">
              <c16:uniqueId val="{00000000-D37D-4503-9EB2-7D1FF6160223}"/>
            </c:ext>
          </c:extLst>
        </c:ser>
        <c:dLbls>
          <c:dLblPos val="inEnd"/>
          <c:showLegendKey val="0"/>
          <c:showVal val="1"/>
          <c:showCatName val="0"/>
          <c:showSerName val="0"/>
          <c:showPercent val="0"/>
          <c:showBubbleSize val="0"/>
        </c:dLbls>
        <c:gapWidth val="0"/>
        <c:overlap val="-27"/>
        <c:axId val="725900591"/>
        <c:axId val="725898671"/>
      </c:barChart>
      <c:catAx>
        <c:axId val="725900591"/>
        <c:scaling>
          <c:orientation val="minMax"/>
        </c:scaling>
        <c:delete val="0"/>
        <c:axPos val="b"/>
        <c:title>
          <c:tx>
            <c:rich>
              <a:bodyPr rot="0" spcFirstLastPara="1" vertOverflow="ellipsis" vert="horz" wrap="square" anchor="ctr" anchorCtr="1"/>
              <a:lstStyle/>
              <a:p>
                <a:pPr>
                  <a:defRPr sz="1200" b="0" i="0" u="none" strike="noStrike" kern="1200" baseline="0">
                    <a:solidFill>
                      <a:schemeClr val="tx1">
                        <a:lumMod val="65000"/>
                        <a:lumOff val="35000"/>
                      </a:schemeClr>
                    </a:solidFill>
                    <a:latin typeface="Univers 57 Condensed" pitchFamily="50" charset="0"/>
                    <a:ea typeface="+mn-ea"/>
                    <a:cs typeface="+mn-cs"/>
                  </a:defRPr>
                </a:pPr>
                <a:r>
                  <a:rPr lang="en-US" sz="1200">
                    <a:latin typeface="Univers 57 Condensed" pitchFamily="50" charset="0"/>
                  </a:rPr>
                  <a:t>year</a:t>
                </a:r>
              </a:p>
            </c:rich>
          </c:tx>
          <c:overlay val="0"/>
          <c:spPr>
            <a:noFill/>
            <a:ln>
              <a:noFill/>
            </a:ln>
            <a:effectLst/>
          </c:spPr>
          <c:txPr>
            <a:bodyPr rot="0" spcFirstLastPara="1" vertOverflow="ellipsis" vert="horz" wrap="square" anchor="ctr" anchorCtr="1"/>
            <a:lstStyle/>
            <a:p>
              <a:pPr>
                <a:defRPr sz="1200" b="0" i="0" u="none" strike="noStrike" kern="1200" baseline="0">
                  <a:solidFill>
                    <a:schemeClr val="tx1">
                      <a:lumMod val="65000"/>
                      <a:lumOff val="35000"/>
                    </a:schemeClr>
                  </a:solidFill>
                  <a:latin typeface="Univers 57 Condensed" pitchFamily="50" charset="0"/>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00" b="0" i="0" u="none" strike="noStrike" kern="1200" baseline="0">
                <a:solidFill>
                  <a:schemeClr val="tx1">
                    <a:lumMod val="65000"/>
                    <a:lumOff val="35000"/>
                  </a:schemeClr>
                </a:solidFill>
                <a:latin typeface="Univers 57 Condensed" pitchFamily="50" charset="0"/>
                <a:ea typeface="+mn-ea"/>
                <a:cs typeface="+mn-cs"/>
              </a:defRPr>
            </a:pPr>
            <a:endParaRPr lang="en-US"/>
          </a:p>
        </c:txPr>
        <c:crossAx val="725898671"/>
        <c:crosses val="autoZero"/>
        <c:auto val="1"/>
        <c:lblAlgn val="ctr"/>
        <c:lblOffset val="100"/>
        <c:noMultiLvlLbl val="0"/>
      </c:catAx>
      <c:valAx>
        <c:axId val="725898671"/>
        <c:scaling>
          <c:orientation val="minMax"/>
          <c:max val="600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200" b="0" i="0" u="none" strike="noStrike" kern="1200" baseline="0">
                    <a:solidFill>
                      <a:schemeClr val="tx1">
                        <a:lumMod val="65000"/>
                        <a:lumOff val="35000"/>
                      </a:schemeClr>
                    </a:solidFill>
                    <a:latin typeface="Univers 57 Condensed" pitchFamily="50" charset="0"/>
                    <a:ea typeface="+mn-ea"/>
                    <a:cs typeface="+mn-cs"/>
                  </a:defRPr>
                </a:pPr>
                <a:r>
                  <a:rPr lang="en-US" sz="1200">
                    <a:latin typeface="Univers 57 Condensed" pitchFamily="50" charset="0"/>
                  </a:rPr>
                  <a:t>P (mm)</a:t>
                </a:r>
              </a:p>
            </c:rich>
          </c:tx>
          <c:overlay val="0"/>
          <c:spPr>
            <a:noFill/>
            <a:ln>
              <a:noFill/>
            </a:ln>
            <a:effectLst/>
          </c:spPr>
          <c:txPr>
            <a:bodyPr rot="-5400000" spcFirstLastPara="1" vertOverflow="ellipsis" vert="horz" wrap="square" anchor="ctr" anchorCtr="1"/>
            <a:lstStyle/>
            <a:p>
              <a:pPr>
                <a:defRPr sz="1200" b="0" i="0" u="none" strike="noStrike" kern="1200" baseline="0">
                  <a:solidFill>
                    <a:schemeClr val="tx1">
                      <a:lumMod val="65000"/>
                      <a:lumOff val="35000"/>
                    </a:schemeClr>
                  </a:solidFill>
                  <a:latin typeface="Univers 57 Condensed" pitchFamily="50" charset="0"/>
                  <a:ea typeface="+mn-ea"/>
                  <a:cs typeface="+mn-cs"/>
                </a:defRPr>
              </a:pPr>
              <a:endParaRPr lang="en-US"/>
            </a:p>
          </c:txPr>
        </c:title>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1200" b="0" i="0" u="none" strike="noStrike" kern="1200" baseline="0">
                <a:solidFill>
                  <a:schemeClr val="tx1">
                    <a:lumMod val="65000"/>
                    <a:lumOff val="35000"/>
                  </a:schemeClr>
                </a:solidFill>
                <a:latin typeface="Univers 57 Condensed" pitchFamily="50" charset="0"/>
                <a:ea typeface="+mn-ea"/>
                <a:cs typeface="+mn-cs"/>
              </a:defRPr>
            </a:pPr>
            <a:endParaRPr lang="en-US"/>
          </a:p>
        </c:txPr>
        <c:crossAx val="725900591"/>
        <c:crosses val="autoZero"/>
        <c:crossBetween val="between"/>
        <c:majorUnit val="1000"/>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a:pPr>
      <a:endParaRPr lang="en-US"/>
    </a:p>
  </c:txPr>
  <c:externalData r:id="rId3">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areaChart>
        <c:grouping val="standard"/>
        <c:varyColors val="0"/>
        <c:ser>
          <c:idx val="0"/>
          <c:order val="0"/>
          <c:tx>
            <c:strRef>
              <c:f>Yap!$I$1</c:f>
              <c:strCache>
                <c:ptCount val="1"/>
                <c:pt idx="0">
                  <c:v>IMERG</c:v>
                </c:pt>
              </c:strCache>
            </c:strRef>
          </c:tx>
          <c:spPr>
            <a:pattFill prst="ltDnDiag">
              <a:fgClr>
                <a:srgbClr val="002060"/>
              </a:fgClr>
              <a:bgClr>
                <a:schemeClr val="bg1"/>
              </a:bgClr>
            </a:pattFill>
            <a:ln>
              <a:noFill/>
            </a:ln>
            <a:effectLst/>
          </c:spPr>
          <c:val>
            <c:numRef>
              <c:f>Yap!$I$3:$I$14</c:f>
              <c:numCache>
                <c:formatCode>0.00</c:formatCode>
                <c:ptCount val="12"/>
                <c:pt idx="0">
                  <c:v>143.01619718507999</c:v>
                </c:pt>
                <c:pt idx="1">
                  <c:v>109.08916436576001</c:v>
                </c:pt>
                <c:pt idx="2">
                  <c:v>127.15333086688881</c:v>
                </c:pt>
                <c:pt idx="3">
                  <c:v>137.08169349092589</c:v>
                </c:pt>
                <c:pt idx="4">
                  <c:v>224.03616760222206</c:v>
                </c:pt>
                <c:pt idx="5">
                  <c:v>256.68848252711103</c:v>
                </c:pt>
                <c:pt idx="6">
                  <c:v>349.44780101844435</c:v>
                </c:pt>
                <c:pt idx="7">
                  <c:v>373.92418778129627</c:v>
                </c:pt>
                <c:pt idx="8">
                  <c:v>382.8430167345926</c:v>
                </c:pt>
                <c:pt idx="9">
                  <c:v>329.32483699014819</c:v>
                </c:pt>
                <c:pt idx="10">
                  <c:v>238.18595220540735</c:v>
                </c:pt>
                <c:pt idx="11">
                  <c:v>207.99564341644432</c:v>
                </c:pt>
              </c:numCache>
            </c:numRef>
          </c:val>
          <c:extLst>
            <c:ext xmlns:c16="http://schemas.microsoft.com/office/drawing/2014/chart" uri="{C3380CC4-5D6E-409C-BE32-E72D297353CC}">
              <c16:uniqueId val="{00000000-D49B-4470-AAFA-0CFC8570D783}"/>
            </c:ext>
          </c:extLst>
        </c:ser>
        <c:ser>
          <c:idx val="1"/>
          <c:order val="1"/>
          <c:tx>
            <c:strRef>
              <c:f>Yap!$J$1</c:f>
              <c:strCache>
                <c:ptCount val="1"/>
                <c:pt idx="0">
                  <c:v>SSEBop</c:v>
                </c:pt>
              </c:strCache>
            </c:strRef>
          </c:tx>
          <c:spPr>
            <a:solidFill>
              <a:schemeClr val="accent3">
                <a:lumMod val="75000"/>
              </a:schemeClr>
            </a:solidFill>
            <a:ln>
              <a:solidFill>
                <a:schemeClr val="accent3">
                  <a:lumMod val="75000"/>
                </a:schemeClr>
              </a:solidFill>
            </a:ln>
            <a:effectLst/>
          </c:spPr>
          <c:val>
            <c:numRef>
              <c:f>Yap!$J$3:$J$14</c:f>
              <c:numCache>
                <c:formatCode>0.00</c:formatCode>
                <c:ptCount val="12"/>
                <c:pt idx="0">
                  <c:v>99.185774946921171</c:v>
                </c:pt>
                <c:pt idx="1">
                  <c:v>98.704658773223713</c:v>
                </c:pt>
                <c:pt idx="2">
                  <c:v>106.35913767760846</c:v>
                </c:pt>
                <c:pt idx="3">
                  <c:v>106.99755022047968</c:v>
                </c:pt>
                <c:pt idx="4">
                  <c:v>97.951004409602973</c:v>
                </c:pt>
                <c:pt idx="5">
                  <c:v>98.04703576678088</c:v>
                </c:pt>
                <c:pt idx="6">
                  <c:v>99.880940715335242</c:v>
                </c:pt>
                <c:pt idx="7">
                  <c:v>100.83145516903444</c:v>
                </c:pt>
                <c:pt idx="8">
                  <c:v>98.387065164134981</c:v>
                </c:pt>
                <c:pt idx="9">
                  <c:v>99.89318961293462</c:v>
                </c:pt>
                <c:pt idx="10">
                  <c:v>90.465948064674166</c:v>
                </c:pt>
                <c:pt idx="11">
                  <c:v>91.967172954434062</c:v>
                </c:pt>
              </c:numCache>
            </c:numRef>
          </c:val>
          <c:extLst>
            <c:ext xmlns:c16="http://schemas.microsoft.com/office/drawing/2014/chart" uri="{C3380CC4-5D6E-409C-BE32-E72D297353CC}">
              <c16:uniqueId val="{00000001-D49B-4470-AAFA-0CFC8570D783}"/>
            </c:ext>
          </c:extLst>
        </c:ser>
        <c:dLbls>
          <c:showLegendKey val="0"/>
          <c:showVal val="0"/>
          <c:showCatName val="0"/>
          <c:showSerName val="0"/>
          <c:showPercent val="0"/>
          <c:showBubbleSize val="0"/>
        </c:dLbls>
        <c:axId val="750042767"/>
        <c:axId val="750044207"/>
      </c:areaChart>
      <c:catAx>
        <c:axId val="750042767"/>
        <c:scaling>
          <c:orientation val="minMax"/>
        </c:scaling>
        <c:delete val="0"/>
        <c:axPos val="b"/>
        <c:title>
          <c:tx>
            <c:rich>
              <a:bodyPr rot="0" spcFirstLastPara="1" vertOverflow="ellipsis" vert="horz" wrap="square" anchor="ctr" anchorCtr="1"/>
              <a:lstStyle/>
              <a:p>
                <a:pPr>
                  <a:defRPr sz="1200" b="0" i="0" u="none" strike="noStrike" kern="1200" baseline="0">
                    <a:solidFill>
                      <a:schemeClr val="tx1"/>
                    </a:solidFill>
                    <a:latin typeface="Univers 57 Condensed" pitchFamily="50" charset="0"/>
                    <a:ea typeface="+mn-ea"/>
                    <a:cs typeface="+mn-cs"/>
                  </a:defRPr>
                </a:pPr>
                <a:r>
                  <a:rPr lang="en-US" sz="1200">
                    <a:solidFill>
                      <a:schemeClr val="tx1"/>
                    </a:solidFill>
                    <a:latin typeface="Univers 57 Condensed" pitchFamily="50" charset="0"/>
                  </a:rPr>
                  <a:t>month</a:t>
                </a:r>
              </a:p>
            </c:rich>
          </c:tx>
          <c:overlay val="0"/>
          <c:spPr>
            <a:noFill/>
            <a:ln>
              <a:noFill/>
            </a:ln>
            <a:effectLst/>
          </c:spPr>
          <c:txPr>
            <a:bodyPr rot="0" spcFirstLastPara="1" vertOverflow="ellipsis" vert="horz" wrap="square" anchor="ctr" anchorCtr="1"/>
            <a:lstStyle/>
            <a:p>
              <a:pPr>
                <a:defRPr sz="1200" b="0" i="0" u="none" strike="noStrike" kern="1200" baseline="0">
                  <a:solidFill>
                    <a:schemeClr val="tx1"/>
                  </a:solidFill>
                  <a:latin typeface="Univers 57 Condensed" pitchFamily="50" charset="0"/>
                  <a:ea typeface="+mn-ea"/>
                  <a:cs typeface="+mn-cs"/>
                </a:defRPr>
              </a:pPr>
              <a:endParaRPr lang="en-US"/>
            </a:p>
          </c:txPr>
        </c:title>
        <c:majorTickMark val="out"/>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200" b="0" i="0" u="none" strike="noStrike" kern="1200" baseline="0">
                <a:solidFill>
                  <a:schemeClr val="tx1"/>
                </a:solidFill>
                <a:latin typeface="Univers 57 Condensed" pitchFamily="50" charset="0"/>
                <a:ea typeface="+mn-ea"/>
                <a:cs typeface="+mn-cs"/>
              </a:defRPr>
            </a:pPr>
            <a:endParaRPr lang="en-US"/>
          </a:p>
        </c:txPr>
        <c:crossAx val="750044207"/>
        <c:crosses val="autoZero"/>
        <c:auto val="1"/>
        <c:lblAlgn val="ctr"/>
        <c:lblOffset val="100"/>
        <c:noMultiLvlLbl val="0"/>
      </c:catAx>
      <c:valAx>
        <c:axId val="750044207"/>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200" b="0" i="0" u="none" strike="noStrike" kern="1200" baseline="0">
                    <a:solidFill>
                      <a:schemeClr val="tx1"/>
                    </a:solidFill>
                    <a:latin typeface="Univers 57 Condensed" pitchFamily="50" charset="0"/>
                    <a:ea typeface="+mn-ea"/>
                    <a:cs typeface="+mn-cs"/>
                  </a:defRPr>
                </a:pPr>
                <a:r>
                  <a:rPr lang="en-US" sz="1200">
                    <a:solidFill>
                      <a:schemeClr val="tx1"/>
                    </a:solidFill>
                    <a:latin typeface="Univers 57 Condensed" pitchFamily="50" charset="0"/>
                  </a:rPr>
                  <a:t>ETa (mm)                          P (mm)</a:t>
                </a:r>
              </a:p>
            </c:rich>
          </c:tx>
          <c:layout>
            <c:manualLayout>
              <c:xMode val="edge"/>
              <c:yMode val="edge"/>
              <c:x val="1.1410929403055388E-2"/>
              <c:y val="0.18202562049639712"/>
            </c:manualLayout>
          </c:layout>
          <c:overlay val="0"/>
          <c:spPr>
            <a:noFill/>
            <a:ln>
              <a:noFill/>
            </a:ln>
            <a:effectLst/>
          </c:spPr>
          <c:txPr>
            <a:bodyPr rot="-5400000" spcFirstLastPara="1" vertOverflow="ellipsis" vert="horz" wrap="square" anchor="ctr" anchorCtr="1"/>
            <a:lstStyle/>
            <a:p>
              <a:pPr>
                <a:defRPr sz="1200" b="0" i="0" u="none" strike="noStrike" kern="1200" baseline="0">
                  <a:solidFill>
                    <a:schemeClr val="tx1"/>
                  </a:solidFill>
                  <a:latin typeface="Univers 57 Condensed" pitchFamily="50" charset="0"/>
                  <a:ea typeface="+mn-ea"/>
                  <a:cs typeface="+mn-cs"/>
                </a:defRPr>
              </a:pPr>
              <a:endParaRPr lang="en-US"/>
            </a:p>
          </c:txPr>
        </c:title>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1200" b="0" i="0" u="none" strike="noStrike" kern="1200" baseline="0">
                <a:solidFill>
                  <a:schemeClr val="tx1"/>
                </a:solidFill>
                <a:latin typeface="Univers 57 Condensed" pitchFamily="50" charset="0"/>
                <a:ea typeface="+mn-ea"/>
                <a:cs typeface="+mn-cs"/>
              </a:defRPr>
            </a:pPr>
            <a:endParaRPr lang="en-US"/>
          </a:p>
        </c:txPr>
        <c:crossAx val="750042767"/>
        <c:crosses val="autoZero"/>
        <c:crossBetween val="midCat"/>
      </c:valAx>
      <c:spPr>
        <a:noFill/>
        <a:ln>
          <a:solidFill>
            <a:schemeClr val="bg1">
              <a:lumMod val="75000"/>
            </a:schemeClr>
          </a:solid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a:pPr>
      <a:endParaRPr lang="en-US"/>
    </a:p>
  </c:txPr>
  <c:externalData r:id="rId3">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spPr>
            <a:solidFill>
              <a:schemeClr val="accent3">
                <a:lumMod val="75000"/>
              </a:schemeClr>
            </a:solidFill>
            <a:ln w="9525" cap="flat" cmpd="sng" algn="ctr">
              <a:solidFill>
                <a:schemeClr val="bg1"/>
              </a:solidFill>
              <a:round/>
            </a:ln>
            <a:effectLst/>
          </c:spPr>
          <c:invertIfNegative val="0"/>
          <c:dLbls>
            <c:delete val="1"/>
          </c:dLbls>
          <c:cat>
            <c:numRef>
              <c:f>Yap!$L$18:$L$30</c:f>
              <c:numCache>
                <c:formatCode>General</c:formatCode>
                <c:ptCount val="13"/>
                <c:pt idx="0">
                  <c:v>2013</c:v>
                </c:pt>
                <c:pt idx="1">
                  <c:v>2014</c:v>
                </c:pt>
                <c:pt idx="2">
                  <c:v>2015</c:v>
                </c:pt>
                <c:pt idx="3">
                  <c:v>2016</c:v>
                </c:pt>
                <c:pt idx="4">
                  <c:v>2017</c:v>
                </c:pt>
                <c:pt idx="5">
                  <c:v>2018</c:v>
                </c:pt>
                <c:pt idx="6">
                  <c:v>2019</c:v>
                </c:pt>
                <c:pt idx="7">
                  <c:v>2020</c:v>
                </c:pt>
                <c:pt idx="8">
                  <c:v>2021</c:v>
                </c:pt>
                <c:pt idx="9">
                  <c:v>2022</c:v>
                </c:pt>
                <c:pt idx="10">
                  <c:v>2023</c:v>
                </c:pt>
                <c:pt idx="11">
                  <c:v>2024</c:v>
                </c:pt>
                <c:pt idx="12">
                  <c:v>2025</c:v>
                </c:pt>
              </c:numCache>
            </c:numRef>
          </c:cat>
          <c:val>
            <c:numRef>
              <c:f>Yap!$N$18:$N$30</c:f>
              <c:numCache>
                <c:formatCode>General</c:formatCode>
                <c:ptCount val="13"/>
                <c:pt idx="0">
                  <c:v>1176</c:v>
                </c:pt>
                <c:pt idx="1">
                  <c:v>1179</c:v>
                </c:pt>
                <c:pt idx="2">
                  <c:v>1179</c:v>
                </c:pt>
                <c:pt idx="3">
                  <c:v>1162</c:v>
                </c:pt>
                <c:pt idx="4">
                  <c:v>1173</c:v>
                </c:pt>
                <c:pt idx="5">
                  <c:v>1177</c:v>
                </c:pt>
                <c:pt idx="6">
                  <c:v>1194</c:v>
                </c:pt>
                <c:pt idx="7">
                  <c:v>1183</c:v>
                </c:pt>
                <c:pt idx="8">
                  <c:v>1192</c:v>
                </c:pt>
                <c:pt idx="9">
                  <c:v>1181</c:v>
                </c:pt>
                <c:pt idx="10">
                  <c:v>1179</c:v>
                </c:pt>
                <c:pt idx="11">
                  <c:v>1208</c:v>
                </c:pt>
                <c:pt idx="12">
                  <c:v>1210</c:v>
                </c:pt>
              </c:numCache>
            </c:numRef>
          </c:val>
          <c:extLst>
            <c:ext xmlns:c16="http://schemas.microsoft.com/office/drawing/2014/chart" uri="{C3380CC4-5D6E-409C-BE32-E72D297353CC}">
              <c16:uniqueId val="{00000000-F15E-4AB1-BA74-C028409E872A}"/>
            </c:ext>
          </c:extLst>
        </c:ser>
        <c:dLbls>
          <c:dLblPos val="inEnd"/>
          <c:showLegendKey val="0"/>
          <c:showVal val="1"/>
          <c:showCatName val="0"/>
          <c:showSerName val="0"/>
          <c:showPercent val="0"/>
          <c:showBubbleSize val="0"/>
        </c:dLbls>
        <c:gapWidth val="0"/>
        <c:axId val="2020192800"/>
        <c:axId val="2020199520"/>
      </c:barChart>
      <c:catAx>
        <c:axId val="2020192800"/>
        <c:scaling>
          <c:orientation val="minMax"/>
        </c:scaling>
        <c:delete val="0"/>
        <c:axPos val="b"/>
        <c:title>
          <c:tx>
            <c:rich>
              <a:bodyPr rot="0" spcFirstLastPara="1" vertOverflow="ellipsis" vert="horz" wrap="square" anchor="ctr" anchorCtr="1"/>
              <a:lstStyle/>
              <a:p>
                <a:pPr>
                  <a:defRPr sz="1200" b="1" i="0" u="none" strike="noStrike" kern="1200" baseline="0">
                    <a:solidFill>
                      <a:schemeClr val="dk1">
                        <a:lumMod val="75000"/>
                        <a:lumOff val="25000"/>
                      </a:schemeClr>
                    </a:solidFill>
                    <a:latin typeface="Univers 57 Condensed" pitchFamily="50" charset="0"/>
                    <a:ea typeface="+mn-ea"/>
                    <a:cs typeface="+mn-cs"/>
                  </a:defRPr>
                </a:pPr>
                <a:r>
                  <a:rPr lang="en-US" sz="1200">
                    <a:latin typeface="Univers 57 Condensed" pitchFamily="50" charset="0"/>
                  </a:rPr>
                  <a:t>year</a:t>
                </a:r>
              </a:p>
            </c:rich>
          </c:tx>
          <c:overlay val="0"/>
          <c:spPr>
            <a:noFill/>
            <a:ln>
              <a:noFill/>
            </a:ln>
            <a:effectLst/>
          </c:spPr>
          <c:txPr>
            <a:bodyPr rot="0" spcFirstLastPara="1" vertOverflow="ellipsis" vert="horz" wrap="square" anchor="ctr" anchorCtr="1"/>
            <a:lstStyle/>
            <a:p>
              <a:pPr>
                <a:defRPr sz="1200" b="1" i="0" u="none" strike="noStrike" kern="1200" baseline="0">
                  <a:solidFill>
                    <a:schemeClr val="dk1">
                      <a:lumMod val="75000"/>
                      <a:lumOff val="25000"/>
                    </a:schemeClr>
                  </a:solidFill>
                  <a:latin typeface="Univers 57 Condensed" pitchFamily="50" charset="0"/>
                  <a:ea typeface="+mn-ea"/>
                  <a:cs typeface="+mn-cs"/>
                </a:defRPr>
              </a:pPr>
              <a:endParaRPr lang="en-US"/>
            </a:p>
          </c:txPr>
        </c:title>
        <c:numFmt formatCode="General" sourceLinked="1"/>
        <c:majorTickMark val="none"/>
        <c:minorTickMark val="none"/>
        <c:tickLblPos val="nextTo"/>
        <c:spPr>
          <a:noFill/>
          <a:ln w="19050" cap="flat" cmpd="sng" algn="ctr">
            <a:solidFill>
              <a:schemeClr val="dk1">
                <a:lumMod val="75000"/>
                <a:lumOff val="25000"/>
              </a:schemeClr>
            </a:solidFill>
            <a:round/>
          </a:ln>
          <a:effectLst/>
        </c:spPr>
        <c:txPr>
          <a:bodyPr rot="-60000000" spcFirstLastPara="1" vertOverflow="ellipsis" vert="horz" wrap="square" anchor="ctr" anchorCtr="1"/>
          <a:lstStyle/>
          <a:p>
            <a:pPr>
              <a:defRPr sz="1200" b="0" i="0" u="none" strike="noStrike" kern="1200" cap="all" baseline="0">
                <a:solidFill>
                  <a:schemeClr val="tx1"/>
                </a:solidFill>
                <a:latin typeface="Univers 57 Condensed" pitchFamily="50" charset="0"/>
                <a:ea typeface="+mn-ea"/>
                <a:cs typeface="+mn-cs"/>
              </a:defRPr>
            </a:pPr>
            <a:endParaRPr lang="en-US"/>
          </a:p>
        </c:txPr>
        <c:crossAx val="2020199520"/>
        <c:crosses val="autoZero"/>
        <c:auto val="1"/>
        <c:lblAlgn val="ctr"/>
        <c:lblOffset val="100"/>
        <c:noMultiLvlLbl val="0"/>
      </c:catAx>
      <c:valAx>
        <c:axId val="2020199520"/>
        <c:scaling>
          <c:orientation val="minMax"/>
          <c:max val="1300"/>
          <c:min val="1000"/>
        </c:scaling>
        <c:delete val="0"/>
        <c:axPos val="l"/>
        <c:majorGridlines>
          <c:spPr>
            <a:ln w="9525" cap="flat" cmpd="sng" algn="ctr">
              <a:gradFill>
                <a:gsLst>
                  <a:gs pos="100000">
                    <a:schemeClr val="dk1">
                      <a:lumMod val="95000"/>
                      <a:lumOff val="5000"/>
                      <a:alpha val="42000"/>
                    </a:schemeClr>
                  </a:gs>
                  <a:gs pos="0">
                    <a:schemeClr val="lt1">
                      <a:lumMod val="75000"/>
                      <a:alpha val="36000"/>
                    </a:schemeClr>
                  </a:gs>
                </a:gsLst>
                <a:lin ang="5400000" scaled="0"/>
              </a:gradFill>
              <a:round/>
            </a:ln>
            <a:effectLst/>
          </c:spPr>
        </c:majorGridlines>
        <c:title>
          <c:tx>
            <c:rich>
              <a:bodyPr rot="-5400000" spcFirstLastPara="1" vertOverflow="ellipsis" vert="horz" wrap="square" anchor="ctr" anchorCtr="1"/>
              <a:lstStyle/>
              <a:p>
                <a:pPr>
                  <a:defRPr sz="1200" b="1" i="0" u="none" strike="noStrike" kern="1200" baseline="0">
                    <a:solidFill>
                      <a:schemeClr val="tx1"/>
                    </a:solidFill>
                    <a:latin typeface="Univers 57 Condensed" pitchFamily="50" charset="0"/>
                    <a:ea typeface="+mn-ea"/>
                    <a:cs typeface="+mn-cs"/>
                  </a:defRPr>
                </a:pPr>
                <a:r>
                  <a:rPr lang="en-US" sz="1200">
                    <a:solidFill>
                      <a:schemeClr val="tx1"/>
                    </a:solidFill>
                    <a:latin typeface="Univers 57 Condensed" pitchFamily="50" charset="0"/>
                  </a:rPr>
                  <a:t>ETa</a:t>
                </a:r>
                <a:r>
                  <a:rPr lang="en-US" sz="1200" baseline="0">
                    <a:solidFill>
                      <a:schemeClr val="tx1"/>
                    </a:solidFill>
                    <a:latin typeface="Univers 57 Condensed" pitchFamily="50" charset="0"/>
                  </a:rPr>
                  <a:t> </a:t>
                </a:r>
                <a:r>
                  <a:rPr lang="en-US" sz="1200">
                    <a:solidFill>
                      <a:schemeClr val="tx1"/>
                    </a:solidFill>
                    <a:latin typeface="Univers 57 Condensed" pitchFamily="50" charset="0"/>
                  </a:rPr>
                  <a:t>(mm)</a:t>
                </a:r>
              </a:p>
            </c:rich>
          </c:tx>
          <c:overlay val="0"/>
          <c:spPr>
            <a:noFill/>
            <a:ln>
              <a:noFill/>
            </a:ln>
            <a:effectLst/>
          </c:spPr>
          <c:txPr>
            <a:bodyPr rot="-5400000" spcFirstLastPara="1" vertOverflow="ellipsis" vert="horz" wrap="square" anchor="ctr" anchorCtr="1"/>
            <a:lstStyle/>
            <a:p>
              <a:pPr>
                <a:defRPr sz="1200" b="1" i="0" u="none" strike="noStrike" kern="1200" baseline="0">
                  <a:solidFill>
                    <a:schemeClr val="tx1"/>
                  </a:solidFill>
                  <a:latin typeface="Univers 57 Condensed" pitchFamily="50" charset="0"/>
                  <a:ea typeface="+mn-ea"/>
                  <a:cs typeface="+mn-cs"/>
                </a:defRPr>
              </a:pPr>
              <a:endParaRPr lang="en-US"/>
            </a:p>
          </c:txPr>
        </c:title>
        <c:numFmt formatCode="General" sourceLinked="1"/>
        <c:majorTickMark val="out"/>
        <c:minorTickMark val="none"/>
        <c:tickLblPos val="nextTo"/>
        <c:spPr>
          <a:noFill/>
          <a:ln>
            <a:noFill/>
          </a:ln>
          <a:effectLst/>
        </c:spPr>
        <c:txPr>
          <a:bodyPr rot="-60000000" spcFirstLastPara="1" vertOverflow="ellipsis" vert="horz" wrap="square" anchor="ctr" anchorCtr="1"/>
          <a:lstStyle/>
          <a:p>
            <a:pPr>
              <a:defRPr sz="1200" b="0" i="0" u="none" strike="noStrike" kern="1200" baseline="0">
                <a:solidFill>
                  <a:schemeClr val="tx1"/>
                </a:solidFill>
                <a:latin typeface="Univers 57 Condensed" pitchFamily="50" charset="0"/>
                <a:ea typeface="+mn-ea"/>
                <a:cs typeface="+mn-cs"/>
              </a:defRPr>
            </a:pPr>
            <a:endParaRPr lang="en-US"/>
          </a:p>
        </c:txPr>
        <c:crossAx val="2020192800"/>
        <c:crosses val="autoZero"/>
        <c:crossBetween val="between"/>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a:pPr>
      <a:endParaRPr lang="en-US"/>
    </a:p>
  </c:txPr>
  <c:externalData r:id="rId3">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spPr>
            <a:solidFill>
              <a:schemeClr val="tx2"/>
            </a:solidFill>
            <a:ln>
              <a:noFill/>
            </a:ln>
            <a:effectLst/>
          </c:spPr>
          <c:invertIfNegative val="0"/>
          <c:cat>
            <c:strRef>
              <c:f>Yap!$A$172:$A$335</c:f>
              <c:strCache>
                <c:ptCount val="164"/>
                <c:pt idx="0">
                  <c:v>2012-02</c:v>
                </c:pt>
                <c:pt idx="1">
                  <c:v>2012-03</c:v>
                </c:pt>
                <c:pt idx="2">
                  <c:v>2012-04</c:v>
                </c:pt>
                <c:pt idx="3">
                  <c:v>2012-05</c:v>
                </c:pt>
                <c:pt idx="4">
                  <c:v>2012-06</c:v>
                </c:pt>
                <c:pt idx="5">
                  <c:v>2012-07</c:v>
                </c:pt>
                <c:pt idx="6">
                  <c:v>2012-08</c:v>
                </c:pt>
                <c:pt idx="7">
                  <c:v>2012-09</c:v>
                </c:pt>
                <c:pt idx="8">
                  <c:v>2012-10</c:v>
                </c:pt>
                <c:pt idx="9">
                  <c:v>2012-11</c:v>
                </c:pt>
                <c:pt idx="10">
                  <c:v>2012-12</c:v>
                </c:pt>
                <c:pt idx="11">
                  <c:v>2013-01</c:v>
                </c:pt>
                <c:pt idx="12">
                  <c:v>2013-02</c:v>
                </c:pt>
                <c:pt idx="13">
                  <c:v>2013-03</c:v>
                </c:pt>
                <c:pt idx="14">
                  <c:v>2013-04</c:v>
                </c:pt>
                <c:pt idx="15">
                  <c:v>2013-05</c:v>
                </c:pt>
                <c:pt idx="16">
                  <c:v>2013-06</c:v>
                </c:pt>
                <c:pt idx="17">
                  <c:v>2013-07</c:v>
                </c:pt>
                <c:pt idx="18">
                  <c:v>2013-08</c:v>
                </c:pt>
                <c:pt idx="19">
                  <c:v>2013-09</c:v>
                </c:pt>
                <c:pt idx="20">
                  <c:v>2013-10</c:v>
                </c:pt>
                <c:pt idx="21">
                  <c:v>2013-11</c:v>
                </c:pt>
                <c:pt idx="22">
                  <c:v>2013-12</c:v>
                </c:pt>
                <c:pt idx="23">
                  <c:v>2014-01</c:v>
                </c:pt>
                <c:pt idx="24">
                  <c:v>2014-02</c:v>
                </c:pt>
                <c:pt idx="25">
                  <c:v>2014-03</c:v>
                </c:pt>
                <c:pt idx="26">
                  <c:v>2014-04</c:v>
                </c:pt>
                <c:pt idx="27">
                  <c:v>2014-05</c:v>
                </c:pt>
                <c:pt idx="28">
                  <c:v>2014-06</c:v>
                </c:pt>
                <c:pt idx="29">
                  <c:v>2014-07</c:v>
                </c:pt>
                <c:pt idx="30">
                  <c:v>2014-08</c:v>
                </c:pt>
                <c:pt idx="31">
                  <c:v>2014-09</c:v>
                </c:pt>
                <c:pt idx="32">
                  <c:v>2014-10</c:v>
                </c:pt>
                <c:pt idx="33">
                  <c:v>2014-11</c:v>
                </c:pt>
                <c:pt idx="34">
                  <c:v>2014-12</c:v>
                </c:pt>
                <c:pt idx="35">
                  <c:v>2015-01</c:v>
                </c:pt>
                <c:pt idx="36">
                  <c:v>2015-02</c:v>
                </c:pt>
                <c:pt idx="37">
                  <c:v>2015-03</c:v>
                </c:pt>
                <c:pt idx="38">
                  <c:v>2015-04</c:v>
                </c:pt>
                <c:pt idx="39">
                  <c:v>2015-05</c:v>
                </c:pt>
                <c:pt idx="40">
                  <c:v>2015-06</c:v>
                </c:pt>
                <c:pt idx="41">
                  <c:v>2015-07</c:v>
                </c:pt>
                <c:pt idx="42">
                  <c:v>2015-08</c:v>
                </c:pt>
                <c:pt idx="43">
                  <c:v>2015-09</c:v>
                </c:pt>
                <c:pt idx="44">
                  <c:v>2015-10</c:v>
                </c:pt>
                <c:pt idx="45">
                  <c:v>2015-11</c:v>
                </c:pt>
                <c:pt idx="46">
                  <c:v>2015-12</c:v>
                </c:pt>
                <c:pt idx="47">
                  <c:v>2016-01</c:v>
                </c:pt>
                <c:pt idx="48">
                  <c:v>2016-02</c:v>
                </c:pt>
                <c:pt idx="49">
                  <c:v>2016-03</c:v>
                </c:pt>
                <c:pt idx="50">
                  <c:v>2016-04</c:v>
                </c:pt>
                <c:pt idx="51">
                  <c:v>2016-05</c:v>
                </c:pt>
                <c:pt idx="52">
                  <c:v>2016-06</c:v>
                </c:pt>
                <c:pt idx="53">
                  <c:v>2016-07</c:v>
                </c:pt>
                <c:pt idx="54">
                  <c:v>2016-08</c:v>
                </c:pt>
                <c:pt idx="55">
                  <c:v>2016-09</c:v>
                </c:pt>
                <c:pt idx="56">
                  <c:v>2016-10</c:v>
                </c:pt>
                <c:pt idx="57">
                  <c:v>2016-11</c:v>
                </c:pt>
                <c:pt idx="58">
                  <c:v>2016-12</c:v>
                </c:pt>
                <c:pt idx="59">
                  <c:v>2017-01</c:v>
                </c:pt>
                <c:pt idx="60">
                  <c:v>2017-02</c:v>
                </c:pt>
                <c:pt idx="61">
                  <c:v>2017-03</c:v>
                </c:pt>
                <c:pt idx="62">
                  <c:v>2017-04</c:v>
                </c:pt>
                <c:pt idx="63">
                  <c:v>2017-05</c:v>
                </c:pt>
                <c:pt idx="64">
                  <c:v>2017-06</c:v>
                </c:pt>
                <c:pt idx="65">
                  <c:v>2017-07</c:v>
                </c:pt>
                <c:pt idx="66">
                  <c:v>2017-08</c:v>
                </c:pt>
                <c:pt idx="67">
                  <c:v>2017-09</c:v>
                </c:pt>
                <c:pt idx="68">
                  <c:v>2017-10</c:v>
                </c:pt>
                <c:pt idx="69">
                  <c:v>2017-11</c:v>
                </c:pt>
                <c:pt idx="70">
                  <c:v>2017-12</c:v>
                </c:pt>
                <c:pt idx="71">
                  <c:v>2018-01</c:v>
                </c:pt>
                <c:pt idx="72">
                  <c:v>2018-02</c:v>
                </c:pt>
                <c:pt idx="73">
                  <c:v>2018-03</c:v>
                </c:pt>
                <c:pt idx="74">
                  <c:v>2018-04</c:v>
                </c:pt>
                <c:pt idx="75">
                  <c:v>2018-05</c:v>
                </c:pt>
                <c:pt idx="76">
                  <c:v>2018-06</c:v>
                </c:pt>
                <c:pt idx="77">
                  <c:v>2018-07</c:v>
                </c:pt>
                <c:pt idx="78">
                  <c:v>2018-08</c:v>
                </c:pt>
                <c:pt idx="79">
                  <c:v>2018-09</c:v>
                </c:pt>
                <c:pt idx="80">
                  <c:v>2018-10</c:v>
                </c:pt>
                <c:pt idx="81">
                  <c:v>2018-11</c:v>
                </c:pt>
                <c:pt idx="82">
                  <c:v>2018-12</c:v>
                </c:pt>
                <c:pt idx="83">
                  <c:v>2019-01</c:v>
                </c:pt>
                <c:pt idx="84">
                  <c:v>2019-02</c:v>
                </c:pt>
                <c:pt idx="85">
                  <c:v>2019-03</c:v>
                </c:pt>
                <c:pt idx="86">
                  <c:v>2019-04</c:v>
                </c:pt>
                <c:pt idx="87">
                  <c:v>2019-05</c:v>
                </c:pt>
                <c:pt idx="88">
                  <c:v>2019-06</c:v>
                </c:pt>
                <c:pt idx="89">
                  <c:v>2019-07</c:v>
                </c:pt>
                <c:pt idx="90">
                  <c:v>2019-08</c:v>
                </c:pt>
                <c:pt idx="91">
                  <c:v>2019-09</c:v>
                </c:pt>
                <c:pt idx="92">
                  <c:v>2019-10</c:v>
                </c:pt>
                <c:pt idx="93">
                  <c:v>2019-11</c:v>
                </c:pt>
                <c:pt idx="94">
                  <c:v>2019-12</c:v>
                </c:pt>
                <c:pt idx="95">
                  <c:v>2020-01</c:v>
                </c:pt>
                <c:pt idx="96">
                  <c:v>2020-02</c:v>
                </c:pt>
                <c:pt idx="97">
                  <c:v>2020-03</c:v>
                </c:pt>
                <c:pt idx="98">
                  <c:v>2020-04</c:v>
                </c:pt>
                <c:pt idx="99">
                  <c:v>2020-05</c:v>
                </c:pt>
                <c:pt idx="100">
                  <c:v>2020-06</c:v>
                </c:pt>
                <c:pt idx="101">
                  <c:v>2020-07</c:v>
                </c:pt>
                <c:pt idx="102">
                  <c:v>2020-08</c:v>
                </c:pt>
                <c:pt idx="103">
                  <c:v>2020-09</c:v>
                </c:pt>
                <c:pt idx="104">
                  <c:v>2020-10</c:v>
                </c:pt>
                <c:pt idx="105">
                  <c:v>2020-11</c:v>
                </c:pt>
                <c:pt idx="106">
                  <c:v>2020-12</c:v>
                </c:pt>
                <c:pt idx="107">
                  <c:v>2021-01</c:v>
                </c:pt>
                <c:pt idx="108">
                  <c:v>2021-02</c:v>
                </c:pt>
                <c:pt idx="109">
                  <c:v>2021-03</c:v>
                </c:pt>
                <c:pt idx="110">
                  <c:v>2021-04</c:v>
                </c:pt>
                <c:pt idx="111">
                  <c:v>2021-05</c:v>
                </c:pt>
                <c:pt idx="112">
                  <c:v>2021-06</c:v>
                </c:pt>
                <c:pt idx="113">
                  <c:v>2021-07</c:v>
                </c:pt>
                <c:pt idx="114">
                  <c:v>2021-08</c:v>
                </c:pt>
                <c:pt idx="115">
                  <c:v>2021-09</c:v>
                </c:pt>
                <c:pt idx="116">
                  <c:v>2021-10</c:v>
                </c:pt>
                <c:pt idx="117">
                  <c:v>2021-11</c:v>
                </c:pt>
                <c:pt idx="118">
                  <c:v>2021-12</c:v>
                </c:pt>
                <c:pt idx="119">
                  <c:v>2022-01</c:v>
                </c:pt>
                <c:pt idx="120">
                  <c:v>2022-02</c:v>
                </c:pt>
                <c:pt idx="121">
                  <c:v>2022-03</c:v>
                </c:pt>
                <c:pt idx="122">
                  <c:v>2022-04</c:v>
                </c:pt>
                <c:pt idx="123">
                  <c:v>2022-05</c:v>
                </c:pt>
                <c:pt idx="124">
                  <c:v>2022-06</c:v>
                </c:pt>
                <c:pt idx="125">
                  <c:v>2022-07</c:v>
                </c:pt>
                <c:pt idx="126">
                  <c:v>2022-08</c:v>
                </c:pt>
                <c:pt idx="127">
                  <c:v>2022-09</c:v>
                </c:pt>
                <c:pt idx="128">
                  <c:v>2022-10</c:v>
                </c:pt>
                <c:pt idx="129">
                  <c:v>2022-11</c:v>
                </c:pt>
                <c:pt idx="130">
                  <c:v>2022-12</c:v>
                </c:pt>
                <c:pt idx="131">
                  <c:v>2023-01</c:v>
                </c:pt>
                <c:pt idx="132">
                  <c:v>2023-02</c:v>
                </c:pt>
                <c:pt idx="133">
                  <c:v>2023-03</c:v>
                </c:pt>
                <c:pt idx="134">
                  <c:v>2023-04</c:v>
                </c:pt>
                <c:pt idx="135">
                  <c:v>2023-05</c:v>
                </c:pt>
                <c:pt idx="136">
                  <c:v>2023-06</c:v>
                </c:pt>
                <c:pt idx="137">
                  <c:v>2023-07</c:v>
                </c:pt>
                <c:pt idx="138">
                  <c:v>2023-08</c:v>
                </c:pt>
                <c:pt idx="139">
                  <c:v>2023-09</c:v>
                </c:pt>
                <c:pt idx="140">
                  <c:v>2023-10</c:v>
                </c:pt>
                <c:pt idx="141">
                  <c:v>2023-11</c:v>
                </c:pt>
                <c:pt idx="142">
                  <c:v>2023-12</c:v>
                </c:pt>
                <c:pt idx="143">
                  <c:v>2024-01</c:v>
                </c:pt>
                <c:pt idx="144">
                  <c:v>2024-02</c:v>
                </c:pt>
                <c:pt idx="145">
                  <c:v>2024-03</c:v>
                </c:pt>
                <c:pt idx="146">
                  <c:v>2024-04</c:v>
                </c:pt>
                <c:pt idx="147">
                  <c:v>2024-05</c:v>
                </c:pt>
                <c:pt idx="148">
                  <c:v>2024-06</c:v>
                </c:pt>
                <c:pt idx="149">
                  <c:v>2024-07</c:v>
                </c:pt>
                <c:pt idx="150">
                  <c:v>2024-08</c:v>
                </c:pt>
                <c:pt idx="151">
                  <c:v>2024-09</c:v>
                </c:pt>
                <c:pt idx="152">
                  <c:v>2024-10</c:v>
                </c:pt>
                <c:pt idx="153">
                  <c:v>2024-11</c:v>
                </c:pt>
                <c:pt idx="154">
                  <c:v>2024-12</c:v>
                </c:pt>
                <c:pt idx="155">
                  <c:v>2025-01</c:v>
                </c:pt>
                <c:pt idx="156">
                  <c:v>2025-02</c:v>
                </c:pt>
                <c:pt idx="157">
                  <c:v>2025-03</c:v>
                </c:pt>
                <c:pt idx="158">
                  <c:v>2025-04</c:v>
                </c:pt>
                <c:pt idx="159">
                  <c:v>2025-05</c:v>
                </c:pt>
                <c:pt idx="160">
                  <c:v>2025-06</c:v>
                </c:pt>
                <c:pt idx="161">
                  <c:v>2025-07</c:v>
                </c:pt>
                <c:pt idx="162">
                  <c:v>2025-08</c:v>
                </c:pt>
                <c:pt idx="163">
                  <c:v>2025-09</c:v>
                </c:pt>
              </c:strCache>
            </c:strRef>
          </c:cat>
          <c:val>
            <c:numRef>
              <c:f>Yap!$F$172:$F$335</c:f>
              <c:numCache>
                <c:formatCode>0.00</c:formatCode>
                <c:ptCount val="164"/>
                <c:pt idx="0">
                  <c:v>66.651648208433187</c:v>
                </c:pt>
                <c:pt idx="1">
                  <c:v>94.882178049662997</c:v>
                </c:pt>
                <c:pt idx="2">
                  <c:v>-58.859980170909999</c:v>
                </c:pt>
                <c:pt idx="3">
                  <c:v>170.66304899684076</c:v>
                </c:pt>
                <c:pt idx="4">
                  <c:v>309.05604409145906</c:v>
                </c:pt>
                <c:pt idx="5">
                  <c:v>176.28158918968796</c:v>
                </c:pt>
                <c:pt idx="6">
                  <c:v>427.68339417731301</c:v>
                </c:pt>
                <c:pt idx="7">
                  <c:v>701.92855104298087</c:v>
                </c:pt>
                <c:pt idx="8">
                  <c:v>292.6070135475606</c:v>
                </c:pt>
                <c:pt idx="9">
                  <c:v>119.31047508896181</c:v>
                </c:pt>
                <c:pt idx="10">
                  <c:v>64.681249445738885</c:v>
                </c:pt>
                <c:pt idx="11">
                  <c:v>-20.051828246668009</c:v>
                </c:pt>
                <c:pt idx="12">
                  <c:v>-30.9313542861847</c:v>
                </c:pt>
                <c:pt idx="13">
                  <c:v>24.599925271687979</c:v>
                </c:pt>
                <c:pt idx="14">
                  <c:v>-72.263391814745006</c:v>
                </c:pt>
                <c:pt idx="15">
                  <c:v>11.592683578280287</c:v>
                </c:pt>
                <c:pt idx="16">
                  <c:v>165.41831002243322</c:v>
                </c:pt>
                <c:pt idx="17">
                  <c:v>221.005315340338</c:v>
                </c:pt>
                <c:pt idx="18">
                  <c:v>204.02981091924298</c:v>
                </c:pt>
                <c:pt idx="19">
                  <c:v>403.49505530226662</c:v>
                </c:pt>
                <c:pt idx="20">
                  <c:v>326.52751160961151</c:v>
                </c:pt>
                <c:pt idx="21">
                  <c:v>48.074441178159304</c:v>
                </c:pt>
                <c:pt idx="22">
                  <c:v>-6.4639346500190982</c:v>
                </c:pt>
                <c:pt idx="23">
                  <c:v>286.44678224805739</c:v>
                </c:pt>
                <c:pt idx="24">
                  <c:v>-27.546741194312105</c:v>
                </c:pt>
                <c:pt idx="25">
                  <c:v>42.404645910528998</c:v>
                </c:pt>
                <c:pt idx="26">
                  <c:v>127.800908866356</c:v>
                </c:pt>
                <c:pt idx="27">
                  <c:v>-17.107458775821001</c:v>
                </c:pt>
                <c:pt idx="28">
                  <c:v>131.48521854293631</c:v>
                </c:pt>
                <c:pt idx="29">
                  <c:v>446.37871387264966</c:v>
                </c:pt>
                <c:pt idx="30">
                  <c:v>192.43509914044591</c:v>
                </c:pt>
                <c:pt idx="31">
                  <c:v>435.81353533737001</c:v>
                </c:pt>
                <c:pt idx="32">
                  <c:v>229.94566231185399</c:v>
                </c:pt>
                <c:pt idx="33">
                  <c:v>-1.4700726017898091</c:v>
                </c:pt>
                <c:pt idx="34">
                  <c:v>201.64617667647138</c:v>
                </c:pt>
                <c:pt idx="35">
                  <c:v>19.645412782739001</c:v>
                </c:pt>
                <c:pt idx="36">
                  <c:v>-18.786198072515901</c:v>
                </c:pt>
                <c:pt idx="37">
                  <c:v>80.835453093394008</c:v>
                </c:pt>
                <c:pt idx="38">
                  <c:v>7.7576884158029884</c:v>
                </c:pt>
                <c:pt idx="39">
                  <c:v>225.8060683100245</c:v>
                </c:pt>
                <c:pt idx="40">
                  <c:v>63.069047675509609</c:v>
                </c:pt>
                <c:pt idx="41">
                  <c:v>264.91221580584079</c:v>
                </c:pt>
                <c:pt idx="42">
                  <c:v>182.72415145047782</c:v>
                </c:pt>
                <c:pt idx="43">
                  <c:v>181.45426256292362</c:v>
                </c:pt>
                <c:pt idx="44">
                  <c:v>-44.586433753018994</c:v>
                </c:pt>
                <c:pt idx="45">
                  <c:v>-40.864852648375802</c:v>
                </c:pt>
                <c:pt idx="46">
                  <c:v>-15.329806795675211</c:v>
                </c:pt>
                <c:pt idx="47">
                  <c:v>-83.147511082044005</c:v>
                </c:pt>
                <c:pt idx="48">
                  <c:v>-177.478881607342</c:v>
                </c:pt>
                <c:pt idx="49">
                  <c:v>-99.419920542165002</c:v>
                </c:pt>
                <c:pt idx="50">
                  <c:v>-26.81812712463001</c:v>
                </c:pt>
                <c:pt idx="51">
                  <c:v>128.9730134251848</c:v>
                </c:pt>
                <c:pt idx="52">
                  <c:v>-8.9368558302801944</c:v>
                </c:pt>
                <c:pt idx="53">
                  <c:v>70.341810445625001</c:v>
                </c:pt>
                <c:pt idx="54">
                  <c:v>181.46364313433762</c:v>
                </c:pt>
                <c:pt idx="55">
                  <c:v>157.7802366020255</c:v>
                </c:pt>
                <c:pt idx="56">
                  <c:v>531.00963807209553</c:v>
                </c:pt>
                <c:pt idx="57">
                  <c:v>333.94242826277707</c:v>
                </c:pt>
                <c:pt idx="58">
                  <c:v>115.5833433985669</c:v>
                </c:pt>
                <c:pt idx="59">
                  <c:v>115.563995853809</c:v>
                </c:pt>
                <c:pt idx="60">
                  <c:v>412.94259624844591</c:v>
                </c:pt>
                <c:pt idx="61">
                  <c:v>146.56100471728098</c:v>
                </c:pt>
                <c:pt idx="62">
                  <c:v>-23.498622259203003</c:v>
                </c:pt>
                <c:pt idx="63">
                  <c:v>-18.342328615764302</c:v>
                </c:pt>
                <c:pt idx="64">
                  <c:v>66.029593725305801</c:v>
                </c:pt>
                <c:pt idx="65">
                  <c:v>300.24948014681604</c:v>
                </c:pt>
                <c:pt idx="66">
                  <c:v>129.543141417198</c:v>
                </c:pt>
                <c:pt idx="67">
                  <c:v>131.35664600543402</c:v>
                </c:pt>
                <c:pt idx="68">
                  <c:v>476.92839489978979</c:v>
                </c:pt>
                <c:pt idx="69">
                  <c:v>116.83798373905101</c:v>
                </c:pt>
                <c:pt idx="70">
                  <c:v>366.98751229413278</c:v>
                </c:pt>
                <c:pt idx="71">
                  <c:v>122.11907754864401</c:v>
                </c:pt>
                <c:pt idx="72">
                  <c:v>60.037185844707011</c:v>
                </c:pt>
                <c:pt idx="73">
                  <c:v>159.23524984007099</c:v>
                </c:pt>
                <c:pt idx="74">
                  <c:v>-68.612160998572989</c:v>
                </c:pt>
                <c:pt idx="75">
                  <c:v>15.085272757159998</c:v>
                </c:pt>
                <c:pt idx="76">
                  <c:v>229.80180282162422</c:v>
                </c:pt>
                <c:pt idx="77">
                  <c:v>267.16622791169431</c:v>
                </c:pt>
                <c:pt idx="78">
                  <c:v>198.60991062668788</c:v>
                </c:pt>
                <c:pt idx="79">
                  <c:v>271.2259960312357</c:v>
                </c:pt>
                <c:pt idx="80">
                  <c:v>-45.225369255038004</c:v>
                </c:pt>
                <c:pt idx="81">
                  <c:v>62.571325830573301</c:v>
                </c:pt>
                <c:pt idx="82">
                  <c:v>86.918940706062685</c:v>
                </c:pt>
                <c:pt idx="83">
                  <c:v>77.814171463044602</c:v>
                </c:pt>
                <c:pt idx="84">
                  <c:v>-79.399161926477703</c:v>
                </c:pt>
                <c:pt idx="85">
                  <c:v>-72.03037703708199</c:v>
                </c:pt>
                <c:pt idx="86">
                  <c:v>-72.599226088745013</c:v>
                </c:pt>
                <c:pt idx="87">
                  <c:v>61.405029109133793</c:v>
                </c:pt>
                <c:pt idx="88">
                  <c:v>127.172548007701</c:v>
                </c:pt>
                <c:pt idx="89">
                  <c:v>173.30602927784798</c:v>
                </c:pt>
                <c:pt idx="90">
                  <c:v>68.301116687204015</c:v>
                </c:pt>
                <c:pt idx="91">
                  <c:v>113.631081501548</c:v>
                </c:pt>
                <c:pt idx="92">
                  <c:v>46.516748944357005</c:v>
                </c:pt>
                <c:pt idx="93">
                  <c:v>92.239702156273907</c:v>
                </c:pt>
                <c:pt idx="94">
                  <c:v>80.428783668394985</c:v>
                </c:pt>
                <c:pt idx="95">
                  <c:v>-54.179490403858992</c:v>
                </c:pt>
                <c:pt idx="96">
                  <c:v>-59.026710146178296</c:v>
                </c:pt>
                <c:pt idx="97">
                  <c:v>-74.449427565592003</c:v>
                </c:pt>
                <c:pt idx="98">
                  <c:v>-34.848328729477004</c:v>
                </c:pt>
                <c:pt idx="99">
                  <c:v>117.1681697783313</c:v>
                </c:pt>
                <c:pt idx="100">
                  <c:v>197.42975017397464</c:v>
                </c:pt>
                <c:pt idx="101">
                  <c:v>70.492109586872999</c:v>
                </c:pt>
                <c:pt idx="102">
                  <c:v>188.22622273364999</c:v>
                </c:pt>
                <c:pt idx="103">
                  <c:v>92.893708099082815</c:v>
                </c:pt>
                <c:pt idx="104">
                  <c:v>116.9806930898981</c:v>
                </c:pt>
                <c:pt idx="105">
                  <c:v>251.5575003325223</c:v>
                </c:pt>
                <c:pt idx="106">
                  <c:v>215.34009652244589</c:v>
                </c:pt>
                <c:pt idx="107">
                  <c:v>33.844627097439485</c:v>
                </c:pt>
                <c:pt idx="108">
                  <c:v>49.725212928891807</c:v>
                </c:pt>
                <c:pt idx="109">
                  <c:v>63.111312229528991</c:v>
                </c:pt>
                <c:pt idx="110">
                  <c:v>223.81145491167598</c:v>
                </c:pt>
                <c:pt idx="111">
                  <c:v>88.255589382496908</c:v>
                </c:pt>
                <c:pt idx="112">
                  <c:v>108.828616928204</c:v>
                </c:pt>
                <c:pt idx="113">
                  <c:v>102.77624973226199</c:v>
                </c:pt>
                <c:pt idx="114">
                  <c:v>87.380910850835008</c:v>
                </c:pt>
                <c:pt idx="115">
                  <c:v>164.6664598321529</c:v>
                </c:pt>
                <c:pt idx="116">
                  <c:v>209.40273291698102</c:v>
                </c:pt>
                <c:pt idx="117">
                  <c:v>13.094489252859901</c:v>
                </c:pt>
                <c:pt idx="118">
                  <c:v>196.68535110051596</c:v>
                </c:pt>
                <c:pt idx="119">
                  <c:v>70.150437275350413</c:v>
                </c:pt>
                <c:pt idx="120">
                  <c:v>18.841497403809001</c:v>
                </c:pt>
                <c:pt idx="121">
                  <c:v>28.612141442007001</c:v>
                </c:pt>
                <c:pt idx="122">
                  <c:v>268.55788537960507</c:v>
                </c:pt>
                <c:pt idx="123">
                  <c:v>237.87306629040796</c:v>
                </c:pt>
                <c:pt idx="124">
                  <c:v>49.402116109394981</c:v>
                </c:pt>
                <c:pt idx="125">
                  <c:v>199.26832245499997</c:v>
                </c:pt>
                <c:pt idx="126">
                  <c:v>91.467122083440003</c:v>
                </c:pt>
                <c:pt idx="127">
                  <c:v>141.04893223701998</c:v>
                </c:pt>
                <c:pt idx="128">
                  <c:v>799.12480934933126</c:v>
                </c:pt>
                <c:pt idx="129">
                  <c:v>56.025033542656104</c:v>
                </c:pt>
                <c:pt idx="130">
                  <c:v>40.727550119222997</c:v>
                </c:pt>
                <c:pt idx="131">
                  <c:v>172.4281039290637</c:v>
                </c:pt>
                <c:pt idx="132">
                  <c:v>22.563223056554193</c:v>
                </c:pt>
                <c:pt idx="133">
                  <c:v>-61.148748367738001</c:v>
                </c:pt>
                <c:pt idx="134">
                  <c:v>54.057334464331987</c:v>
                </c:pt>
                <c:pt idx="135">
                  <c:v>102.77732434724209</c:v>
                </c:pt>
                <c:pt idx="136">
                  <c:v>143.89245592334402</c:v>
                </c:pt>
                <c:pt idx="137">
                  <c:v>544.03055173240807</c:v>
                </c:pt>
                <c:pt idx="138">
                  <c:v>582.56716128014023</c:v>
                </c:pt>
                <c:pt idx="139">
                  <c:v>194.58537812760508</c:v>
                </c:pt>
                <c:pt idx="140">
                  <c:v>57.727299427676002</c:v>
                </c:pt>
                <c:pt idx="141">
                  <c:v>90.039157663999987</c:v>
                </c:pt>
                <c:pt idx="142">
                  <c:v>-50.155382011605006</c:v>
                </c:pt>
                <c:pt idx="143">
                  <c:v>44.747700730369488</c:v>
                </c:pt>
                <c:pt idx="144">
                  <c:v>-62.887079956738901</c:v>
                </c:pt>
                <c:pt idx="145">
                  <c:v>-92.891428000495992</c:v>
                </c:pt>
                <c:pt idx="146">
                  <c:v>-76.12445958672609</c:v>
                </c:pt>
                <c:pt idx="147">
                  <c:v>70.140744045643302</c:v>
                </c:pt>
                <c:pt idx="148">
                  <c:v>78.266482033242085</c:v>
                </c:pt>
                <c:pt idx="149">
                  <c:v>406.87073187459902</c:v>
                </c:pt>
                <c:pt idx="150">
                  <c:v>143.60429790057998</c:v>
                </c:pt>
                <c:pt idx="151">
                  <c:v>700.11987878159903</c:v>
                </c:pt>
                <c:pt idx="152">
                  <c:v>407.43134901975202</c:v>
                </c:pt>
                <c:pt idx="153">
                  <c:v>278.4991717255669</c:v>
                </c:pt>
                <c:pt idx="154">
                  <c:v>-21.207358190898006</c:v>
                </c:pt>
                <c:pt idx="155">
                  <c:v>-9.9274658963429943</c:v>
                </c:pt>
                <c:pt idx="156">
                  <c:v>-9.3958332379999945</c:v>
                </c:pt>
                <c:pt idx="157">
                  <c:v>-32.492440857253996</c:v>
                </c:pt>
                <c:pt idx="158">
                  <c:v>-36.827557759745005</c:v>
                </c:pt>
                <c:pt idx="159">
                  <c:v>131.87048796605001</c:v>
                </c:pt>
                <c:pt idx="160">
                  <c:v>226.92238435755422</c:v>
                </c:pt>
                <c:pt idx="161">
                  <c:v>71.407442557777998</c:v>
                </c:pt>
                <c:pt idx="162">
                  <c:v>188.06340025079004</c:v>
                </c:pt>
                <c:pt idx="163">
                  <c:v>194.37868643151597</c:v>
                </c:pt>
              </c:numCache>
            </c:numRef>
          </c:val>
          <c:extLst>
            <c:ext xmlns:c16="http://schemas.microsoft.com/office/drawing/2014/chart" uri="{C3380CC4-5D6E-409C-BE32-E72D297353CC}">
              <c16:uniqueId val="{00000000-8EB1-4092-8B28-BA1A86743EDD}"/>
            </c:ext>
          </c:extLst>
        </c:ser>
        <c:dLbls>
          <c:showLegendKey val="0"/>
          <c:showVal val="0"/>
          <c:showCatName val="0"/>
          <c:showSerName val="0"/>
          <c:showPercent val="0"/>
          <c:showBubbleSize val="0"/>
        </c:dLbls>
        <c:gapWidth val="0"/>
        <c:overlap val="-27"/>
        <c:axId val="1823723120"/>
        <c:axId val="1823717840"/>
      </c:barChart>
      <c:catAx>
        <c:axId val="1823723120"/>
        <c:scaling>
          <c:orientation val="minMax"/>
        </c:scaling>
        <c:delete val="0"/>
        <c:axPos val="b"/>
        <c:title>
          <c:tx>
            <c:rich>
              <a:bodyPr rot="0" spcFirstLastPara="1" vertOverflow="ellipsis" vert="horz" wrap="square" anchor="ctr" anchorCtr="1"/>
              <a:lstStyle/>
              <a:p>
                <a:pPr>
                  <a:defRPr sz="1200" b="0" i="0" u="none" strike="noStrike" kern="1200" baseline="0">
                    <a:solidFill>
                      <a:schemeClr val="tx1">
                        <a:lumMod val="65000"/>
                        <a:lumOff val="35000"/>
                      </a:schemeClr>
                    </a:solidFill>
                    <a:latin typeface="Univers 57 Condensed" pitchFamily="50" charset="0"/>
                    <a:ea typeface="+mn-ea"/>
                    <a:cs typeface="+mn-cs"/>
                  </a:defRPr>
                </a:pPr>
                <a:r>
                  <a:rPr lang="en-US" sz="1200">
                    <a:latin typeface="Univers 57 Condensed" pitchFamily="50" charset="0"/>
                  </a:rPr>
                  <a:t>year-month</a:t>
                </a:r>
              </a:p>
            </c:rich>
          </c:tx>
          <c:layout>
            <c:manualLayout>
              <c:xMode val="edge"/>
              <c:yMode val="edge"/>
              <c:x val="0.498142485971514"/>
              <c:y val="0.89289805588460736"/>
            </c:manualLayout>
          </c:layout>
          <c:overlay val="0"/>
          <c:spPr>
            <a:noFill/>
            <a:ln>
              <a:noFill/>
            </a:ln>
            <a:effectLst/>
          </c:spPr>
          <c:txPr>
            <a:bodyPr rot="0" spcFirstLastPara="1" vertOverflow="ellipsis" vert="horz" wrap="square" anchor="ctr" anchorCtr="1"/>
            <a:lstStyle/>
            <a:p>
              <a:pPr>
                <a:defRPr sz="1200" b="0" i="0" u="none" strike="noStrike" kern="1200" baseline="0">
                  <a:solidFill>
                    <a:schemeClr val="tx1">
                      <a:lumMod val="65000"/>
                      <a:lumOff val="35000"/>
                    </a:schemeClr>
                  </a:solidFill>
                  <a:latin typeface="Univers 57 Condensed" pitchFamily="50" charset="0"/>
                  <a:ea typeface="+mn-ea"/>
                  <a:cs typeface="+mn-cs"/>
                </a:defRPr>
              </a:pPr>
              <a:endParaRPr lang="en-US"/>
            </a:p>
          </c:txPr>
        </c:title>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200" b="0" i="0" u="none" strike="noStrike" kern="1200" baseline="0">
                <a:solidFill>
                  <a:schemeClr val="tx1"/>
                </a:solidFill>
                <a:latin typeface="Univers 57 Condensed" pitchFamily="50" charset="0"/>
                <a:ea typeface="+mn-ea"/>
                <a:cs typeface="+mn-cs"/>
              </a:defRPr>
            </a:pPr>
            <a:endParaRPr lang="en-US"/>
          </a:p>
        </c:txPr>
        <c:crossAx val="1823717840"/>
        <c:crosses val="autoZero"/>
        <c:auto val="1"/>
        <c:lblAlgn val="ctr"/>
        <c:lblOffset val="0"/>
        <c:tickLblSkip val="6"/>
        <c:noMultiLvlLbl val="0"/>
      </c:catAx>
      <c:valAx>
        <c:axId val="182371784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200" b="0" i="0" u="none" strike="noStrike" kern="1200" baseline="0">
                    <a:solidFill>
                      <a:schemeClr val="tx1"/>
                    </a:solidFill>
                    <a:latin typeface="Univers 57 Condensed" pitchFamily="50" charset="0"/>
                    <a:ea typeface="+mn-ea"/>
                    <a:cs typeface="+mn-cs"/>
                  </a:defRPr>
                </a:pPr>
                <a:r>
                  <a:rPr lang="en-US" sz="1200">
                    <a:solidFill>
                      <a:schemeClr val="tx1"/>
                    </a:solidFill>
                    <a:latin typeface="Univers 57 Condensed" pitchFamily="50" charset="0"/>
                  </a:rPr>
                  <a:t>P - ETa (mm)</a:t>
                </a:r>
              </a:p>
            </c:rich>
          </c:tx>
          <c:overlay val="0"/>
          <c:spPr>
            <a:noFill/>
            <a:ln>
              <a:noFill/>
            </a:ln>
            <a:effectLst/>
          </c:spPr>
          <c:txPr>
            <a:bodyPr rot="-5400000" spcFirstLastPara="1" vertOverflow="ellipsis" vert="horz" wrap="square" anchor="ctr" anchorCtr="1"/>
            <a:lstStyle/>
            <a:p>
              <a:pPr>
                <a:defRPr sz="1200" b="0" i="0" u="none" strike="noStrike" kern="1200" baseline="0">
                  <a:solidFill>
                    <a:schemeClr val="tx1"/>
                  </a:solidFill>
                  <a:latin typeface="Univers 57 Condensed" pitchFamily="50" charset="0"/>
                  <a:ea typeface="+mn-ea"/>
                  <a:cs typeface="+mn-cs"/>
                </a:defRPr>
              </a:pPr>
              <a:endParaRPr lang="en-US"/>
            </a:p>
          </c:txPr>
        </c:title>
        <c:numFmt formatCode="0" sourceLinked="0"/>
        <c:majorTickMark val="none"/>
        <c:minorTickMark val="none"/>
        <c:tickLblPos val="nextTo"/>
        <c:spPr>
          <a:noFill/>
          <a:ln>
            <a:solidFill>
              <a:schemeClr val="bg1">
                <a:lumMod val="75000"/>
              </a:schemeClr>
            </a:solidFill>
          </a:ln>
          <a:effectLst/>
        </c:spPr>
        <c:txPr>
          <a:bodyPr rot="-60000000" spcFirstLastPara="1" vertOverflow="ellipsis" vert="horz" wrap="square" anchor="ctr" anchorCtr="1"/>
          <a:lstStyle/>
          <a:p>
            <a:pPr>
              <a:defRPr sz="1200" b="0" i="0" u="none" strike="noStrike" kern="1200" baseline="0">
                <a:solidFill>
                  <a:schemeClr val="tx1"/>
                </a:solidFill>
                <a:latin typeface="Univers 57 Condensed" pitchFamily="50" charset="0"/>
                <a:ea typeface="+mn-ea"/>
                <a:cs typeface="+mn-cs"/>
              </a:defRPr>
            </a:pPr>
            <a:endParaRPr lang="en-US"/>
          </a:p>
        </c:txPr>
        <c:crossAx val="1823723120"/>
        <c:crosses val="autoZero"/>
        <c:crossBetween val="between"/>
      </c:valAx>
      <c:spPr>
        <a:noFill/>
        <a:ln>
          <a:solidFill>
            <a:schemeClr val="bg1">
              <a:lumMod val="75000"/>
            </a:schemeClr>
          </a:solid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a:pPr>
      <a:endParaRPr lang="en-US"/>
    </a:p>
  </c:txPr>
  <c:externalData r:id="rId3">
    <c:autoUpdate val="0"/>
  </c:externalData>
</c:chartSpace>
</file>

<file path=word/charts/chart1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1"/>
          <c:order val="0"/>
          <c:tx>
            <c:strRef>
              <c:f>Yap!$M$1</c:f>
              <c:strCache>
                <c:ptCount val="1"/>
                <c:pt idx="0">
                  <c:v>IMERG (P)</c:v>
                </c:pt>
              </c:strCache>
            </c:strRef>
          </c:tx>
          <c:spPr>
            <a:solidFill>
              <a:schemeClr val="accent1">
                <a:lumMod val="60000"/>
                <a:lumOff val="40000"/>
              </a:schemeClr>
            </a:solidFill>
            <a:ln>
              <a:noFill/>
            </a:ln>
            <a:effectLst/>
          </c:spPr>
          <c:invertIfNegative val="0"/>
          <c:cat>
            <c:numRef>
              <c:f>Yap!$L$18:$L$29</c:f>
              <c:numCache>
                <c:formatCode>General</c:formatCode>
                <c:ptCount val="12"/>
                <c:pt idx="0">
                  <c:v>2013</c:v>
                </c:pt>
                <c:pt idx="1">
                  <c:v>2014</c:v>
                </c:pt>
                <c:pt idx="2">
                  <c:v>2015</c:v>
                </c:pt>
                <c:pt idx="3">
                  <c:v>2016</c:v>
                </c:pt>
                <c:pt idx="4">
                  <c:v>2017</c:v>
                </c:pt>
                <c:pt idx="5">
                  <c:v>2018</c:v>
                </c:pt>
                <c:pt idx="6">
                  <c:v>2019</c:v>
                </c:pt>
                <c:pt idx="7">
                  <c:v>2020</c:v>
                </c:pt>
                <c:pt idx="8">
                  <c:v>2021</c:v>
                </c:pt>
                <c:pt idx="9">
                  <c:v>2022</c:v>
                </c:pt>
                <c:pt idx="10">
                  <c:v>2023</c:v>
                </c:pt>
                <c:pt idx="11">
                  <c:v>2024</c:v>
                </c:pt>
              </c:numCache>
            </c:numRef>
          </c:cat>
          <c:val>
            <c:numRef>
              <c:f>Yap!$M$18:$M$29</c:f>
              <c:numCache>
                <c:formatCode>General</c:formatCode>
                <c:ptCount val="12"/>
                <c:pt idx="0">
                  <c:v>2451.427448683</c:v>
                </c:pt>
                <c:pt idx="1">
                  <c:v>3227.2515786150002</c:v>
                </c:pt>
                <c:pt idx="2">
                  <c:v>2086.127454687</c:v>
                </c:pt>
                <c:pt idx="3">
                  <c:v>2386.224081843</c:v>
                </c:pt>
                <c:pt idx="4">
                  <c:v>3393.98742365</c:v>
                </c:pt>
                <c:pt idx="5">
                  <c:v>2535.5449246329999</c:v>
                </c:pt>
                <c:pt idx="6">
                  <c:v>1810.996636846</c:v>
                </c:pt>
                <c:pt idx="7">
                  <c:v>2210.9091342359902</c:v>
                </c:pt>
                <c:pt idx="8">
                  <c:v>2533.219949839</c:v>
                </c:pt>
                <c:pt idx="9">
                  <c:v>3182.130760821</c:v>
                </c:pt>
                <c:pt idx="10">
                  <c:v>3032.2874264520001</c:v>
                </c:pt>
                <c:pt idx="11">
                  <c:v>3084.6082469369999</c:v>
                </c:pt>
              </c:numCache>
            </c:numRef>
          </c:val>
          <c:extLst>
            <c:ext xmlns:c16="http://schemas.microsoft.com/office/drawing/2014/chart" uri="{C3380CC4-5D6E-409C-BE32-E72D297353CC}">
              <c16:uniqueId val="{00000000-37CA-410F-BA35-E17133C1F4C2}"/>
            </c:ext>
          </c:extLst>
        </c:ser>
        <c:ser>
          <c:idx val="0"/>
          <c:order val="1"/>
          <c:tx>
            <c:strRef>
              <c:f>Yap!$N$1</c:f>
              <c:strCache>
                <c:ptCount val="1"/>
                <c:pt idx="0">
                  <c:v>SSEBop (ETa)</c:v>
                </c:pt>
              </c:strCache>
            </c:strRef>
          </c:tx>
          <c:spPr>
            <a:solidFill>
              <a:schemeClr val="accent3">
                <a:lumMod val="75000"/>
              </a:schemeClr>
            </a:solidFill>
            <a:ln>
              <a:noFill/>
            </a:ln>
            <a:effectLst/>
          </c:spPr>
          <c:invertIfNegative val="0"/>
          <c:cat>
            <c:numRef>
              <c:f>Yap!$L$18:$L$29</c:f>
              <c:numCache>
                <c:formatCode>General</c:formatCode>
                <c:ptCount val="12"/>
                <c:pt idx="0">
                  <c:v>2013</c:v>
                </c:pt>
                <c:pt idx="1">
                  <c:v>2014</c:v>
                </c:pt>
                <c:pt idx="2">
                  <c:v>2015</c:v>
                </c:pt>
                <c:pt idx="3">
                  <c:v>2016</c:v>
                </c:pt>
                <c:pt idx="4">
                  <c:v>2017</c:v>
                </c:pt>
                <c:pt idx="5">
                  <c:v>2018</c:v>
                </c:pt>
                <c:pt idx="6">
                  <c:v>2019</c:v>
                </c:pt>
                <c:pt idx="7">
                  <c:v>2020</c:v>
                </c:pt>
                <c:pt idx="8">
                  <c:v>2021</c:v>
                </c:pt>
                <c:pt idx="9">
                  <c:v>2022</c:v>
                </c:pt>
                <c:pt idx="10">
                  <c:v>2023</c:v>
                </c:pt>
                <c:pt idx="11">
                  <c:v>2024</c:v>
                </c:pt>
              </c:numCache>
            </c:numRef>
          </c:cat>
          <c:val>
            <c:numRef>
              <c:f>Yap!$N$18:$N$29</c:f>
              <c:numCache>
                <c:formatCode>General</c:formatCode>
                <c:ptCount val="12"/>
                <c:pt idx="0">
                  <c:v>1176</c:v>
                </c:pt>
                <c:pt idx="1">
                  <c:v>1179</c:v>
                </c:pt>
                <c:pt idx="2">
                  <c:v>1179</c:v>
                </c:pt>
                <c:pt idx="3">
                  <c:v>1162</c:v>
                </c:pt>
                <c:pt idx="4">
                  <c:v>1173</c:v>
                </c:pt>
                <c:pt idx="5">
                  <c:v>1177</c:v>
                </c:pt>
                <c:pt idx="6">
                  <c:v>1194</c:v>
                </c:pt>
                <c:pt idx="7">
                  <c:v>1183</c:v>
                </c:pt>
                <c:pt idx="8">
                  <c:v>1192</c:v>
                </c:pt>
                <c:pt idx="9">
                  <c:v>1181</c:v>
                </c:pt>
                <c:pt idx="10">
                  <c:v>1179</c:v>
                </c:pt>
                <c:pt idx="11">
                  <c:v>1208</c:v>
                </c:pt>
              </c:numCache>
            </c:numRef>
          </c:val>
          <c:extLst>
            <c:ext xmlns:c16="http://schemas.microsoft.com/office/drawing/2014/chart" uri="{C3380CC4-5D6E-409C-BE32-E72D297353CC}">
              <c16:uniqueId val="{00000001-37CA-410F-BA35-E17133C1F4C2}"/>
            </c:ext>
          </c:extLst>
        </c:ser>
        <c:ser>
          <c:idx val="2"/>
          <c:order val="2"/>
          <c:tx>
            <c:strRef>
              <c:f>Yap!$O$1</c:f>
              <c:strCache>
                <c:ptCount val="1"/>
                <c:pt idx="0">
                  <c:v>P - ETa</c:v>
                </c:pt>
              </c:strCache>
            </c:strRef>
          </c:tx>
          <c:spPr>
            <a:solidFill>
              <a:srgbClr val="002060"/>
            </a:solidFill>
            <a:ln>
              <a:noFill/>
            </a:ln>
            <a:effectLst/>
          </c:spPr>
          <c:invertIfNegative val="0"/>
          <c:cat>
            <c:numRef>
              <c:f>Yap!$L$18:$L$29</c:f>
              <c:numCache>
                <c:formatCode>General</c:formatCode>
                <c:ptCount val="12"/>
                <c:pt idx="0">
                  <c:v>2013</c:v>
                </c:pt>
                <c:pt idx="1">
                  <c:v>2014</c:v>
                </c:pt>
                <c:pt idx="2">
                  <c:v>2015</c:v>
                </c:pt>
                <c:pt idx="3">
                  <c:v>2016</c:v>
                </c:pt>
                <c:pt idx="4">
                  <c:v>2017</c:v>
                </c:pt>
                <c:pt idx="5">
                  <c:v>2018</c:v>
                </c:pt>
                <c:pt idx="6">
                  <c:v>2019</c:v>
                </c:pt>
                <c:pt idx="7">
                  <c:v>2020</c:v>
                </c:pt>
                <c:pt idx="8">
                  <c:v>2021</c:v>
                </c:pt>
                <c:pt idx="9">
                  <c:v>2022</c:v>
                </c:pt>
                <c:pt idx="10">
                  <c:v>2023</c:v>
                </c:pt>
                <c:pt idx="11">
                  <c:v>2024</c:v>
                </c:pt>
              </c:numCache>
            </c:numRef>
          </c:cat>
          <c:val>
            <c:numRef>
              <c:f>Yap!$O$18:$O$29</c:f>
              <c:numCache>
                <c:formatCode>0</c:formatCode>
                <c:ptCount val="12"/>
                <c:pt idx="0">
                  <c:v>1275.427448683</c:v>
                </c:pt>
                <c:pt idx="1">
                  <c:v>2048.2515786150002</c:v>
                </c:pt>
                <c:pt idx="2">
                  <c:v>907.12745468699995</c:v>
                </c:pt>
                <c:pt idx="3">
                  <c:v>1224.224081843</c:v>
                </c:pt>
                <c:pt idx="4">
                  <c:v>2220.98742365</c:v>
                </c:pt>
                <c:pt idx="5">
                  <c:v>1358.5449246329999</c:v>
                </c:pt>
                <c:pt idx="6">
                  <c:v>616.996636846</c:v>
                </c:pt>
                <c:pt idx="7">
                  <c:v>1027.9091342359902</c:v>
                </c:pt>
                <c:pt idx="8">
                  <c:v>1341.219949839</c:v>
                </c:pt>
                <c:pt idx="9">
                  <c:v>2001.130760821</c:v>
                </c:pt>
                <c:pt idx="10">
                  <c:v>1853.2874264520001</c:v>
                </c:pt>
                <c:pt idx="11">
                  <c:v>1876.6082469369999</c:v>
                </c:pt>
              </c:numCache>
            </c:numRef>
          </c:val>
          <c:extLst>
            <c:ext xmlns:c16="http://schemas.microsoft.com/office/drawing/2014/chart" uri="{C3380CC4-5D6E-409C-BE32-E72D297353CC}">
              <c16:uniqueId val="{00000002-37CA-410F-BA35-E17133C1F4C2}"/>
            </c:ext>
          </c:extLst>
        </c:ser>
        <c:dLbls>
          <c:showLegendKey val="0"/>
          <c:showVal val="0"/>
          <c:showCatName val="0"/>
          <c:showSerName val="0"/>
          <c:showPercent val="0"/>
          <c:showBubbleSize val="0"/>
        </c:dLbls>
        <c:gapWidth val="150"/>
        <c:axId val="1822521504"/>
        <c:axId val="1822522944"/>
      </c:barChart>
      <c:catAx>
        <c:axId val="1822521504"/>
        <c:scaling>
          <c:orientation val="minMax"/>
        </c:scaling>
        <c:delete val="0"/>
        <c:axPos val="b"/>
        <c:title>
          <c:tx>
            <c:rich>
              <a:bodyPr rot="0" spcFirstLastPara="1" vertOverflow="ellipsis" vert="horz" wrap="square" anchor="ctr" anchorCtr="1"/>
              <a:lstStyle/>
              <a:p>
                <a:pPr>
                  <a:defRPr sz="1200" b="0" i="0" u="none" strike="noStrike" kern="1200" baseline="0">
                    <a:solidFill>
                      <a:schemeClr val="tx1">
                        <a:lumMod val="65000"/>
                        <a:lumOff val="35000"/>
                      </a:schemeClr>
                    </a:solidFill>
                    <a:latin typeface="Univers 57 Condensed" pitchFamily="50" charset="0"/>
                    <a:ea typeface="+mn-ea"/>
                    <a:cs typeface="+mn-cs"/>
                  </a:defRPr>
                </a:pPr>
                <a:r>
                  <a:rPr lang="en-US" sz="1200">
                    <a:latin typeface="Univers 57 Condensed" pitchFamily="50" charset="0"/>
                  </a:rPr>
                  <a:t>year</a:t>
                </a:r>
              </a:p>
            </c:rich>
          </c:tx>
          <c:overlay val="0"/>
          <c:spPr>
            <a:noFill/>
            <a:ln>
              <a:noFill/>
            </a:ln>
            <a:effectLst/>
          </c:spPr>
          <c:txPr>
            <a:bodyPr rot="0" spcFirstLastPara="1" vertOverflow="ellipsis" vert="horz" wrap="square" anchor="ctr" anchorCtr="1"/>
            <a:lstStyle/>
            <a:p>
              <a:pPr>
                <a:defRPr sz="1200" b="0" i="0" u="none" strike="noStrike" kern="1200" baseline="0">
                  <a:solidFill>
                    <a:schemeClr val="tx1">
                      <a:lumMod val="65000"/>
                      <a:lumOff val="35000"/>
                    </a:schemeClr>
                  </a:solidFill>
                  <a:latin typeface="Univers 57 Condensed" pitchFamily="50" charset="0"/>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200" b="0" i="0" u="none" strike="noStrike" kern="1200" baseline="0">
                <a:solidFill>
                  <a:schemeClr val="tx1"/>
                </a:solidFill>
                <a:latin typeface="Univers 57 Condensed" pitchFamily="50" charset="0"/>
                <a:ea typeface="+mn-ea"/>
                <a:cs typeface="+mn-cs"/>
              </a:defRPr>
            </a:pPr>
            <a:endParaRPr lang="en-US"/>
          </a:p>
        </c:txPr>
        <c:crossAx val="1822522944"/>
        <c:crosses val="autoZero"/>
        <c:auto val="1"/>
        <c:lblAlgn val="ctr"/>
        <c:lblOffset val="100"/>
        <c:noMultiLvlLbl val="0"/>
      </c:catAx>
      <c:valAx>
        <c:axId val="1822522944"/>
        <c:scaling>
          <c:orientation val="minMax"/>
        </c:scaling>
        <c:delete val="0"/>
        <c:axPos val="l"/>
        <c:majorGridlines>
          <c:spPr>
            <a:ln w="9525" cap="flat" cmpd="sng" algn="ctr">
              <a:solidFill>
                <a:schemeClr val="bg1">
                  <a:lumMod val="75000"/>
                </a:schemeClr>
              </a:solidFill>
              <a:round/>
            </a:ln>
            <a:effectLst/>
          </c:spPr>
        </c:majorGridlines>
        <c:title>
          <c:tx>
            <c:rich>
              <a:bodyPr rot="-5400000" spcFirstLastPara="1" vertOverflow="ellipsis" vert="horz" wrap="square" anchor="ctr" anchorCtr="1"/>
              <a:lstStyle/>
              <a:p>
                <a:pPr>
                  <a:defRPr sz="1200" b="0" i="0" u="none" strike="noStrike" kern="1200" baseline="0">
                    <a:solidFill>
                      <a:schemeClr val="tx1">
                        <a:lumMod val="65000"/>
                        <a:lumOff val="35000"/>
                      </a:schemeClr>
                    </a:solidFill>
                    <a:latin typeface="Univers 57 Condensed" pitchFamily="50" charset="0"/>
                    <a:ea typeface="+mn-ea"/>
                    <a:cs typeface="+mn-cs"/>
                  </a:defRPr>
                </a:pPr>
                <a:r>
                  <a:rPr lang="en-US" sz="1200">
                    <a:latin typeface="Univers 57 Condensed" pitchFamily="50" charset="0"/>
                  </a:rPr>
                  <a:t>Net annual water availability (mm)</a:t>
                </a:r>
              </a:p>
            </c:rich>
          </c:tx>
          <c:layout>
            <c:manualLayout>
              <c:xMode val="edge"/>
              <c:yMode val="edge"/>
              <c:x val="8.1114139578706505E-3"/>
              <c:y val="7.1701563904857907E-2"/>
            </c:manualLayout>
          </c:layout>
          <c:overlay val="0"/>
          <c:spPr>
            <a:noFill/>
            <a:ln>
              <a:noFill/>
            </a:ln>
            <a:effectLst/>
          </c:spPr>
          <c:txPr>
            <a:bodyPr rot="-5400000" spcFirstLastPara="1" vertOverflow="ellipsis" vert="horz" wrap="square" anchor="ctr" anchorCtr="1"/>
            <a:lstStyle/>
            <a:p>
              <a:pPr>
                <a:defRPr sz="1200" b="0" i="0" u="none" strike="noStrike" kern="1200" baseline="0">
                  <a:solidFill>
                    <a:schemeClr val="tx1">
                      <a:lumMod val="65000"/>
                      <a:lumOff val="35000"/>
                    </a:schemeClr>
                  </a:solidFill>
                  <a:latin typeface="Univers 57 Condensed" pitchFamily="50" charset="0"/>
                  <a:ea typeface="+mn-ea"/>
                  <a:cs typeface="+mn-cs"/>
                </a:defRPr>
              </a:pPr>
              <a:endParaRPr lang="en-US"/>
            </a:p>
          </c:txPr>
        </c:title>
        <c:numFmt formatCode="0" sourceLinked="0"/>
        <c:majorTickMark val="out"/>
        <c:minorTickMark val="none"/>
        <c:tickLblPos val="nextTo"/>
        <c:spPr>
          <a:noFill/>
          <a:ln>
            <a:noFill/>
          </a:ln>
          <a:effectLst/>
        </c:spPr>
        <c:txPr>
          <a:bodyPr rot="-60000000" spcFirstLastPara="1" vertOverflow="ellipsis" vert="horz" wrap="square" anchor="ctr" anchorCtr="1"/>
          <a:lstStyle/>
          <a:p>
            <a:pPr>
              <a:defRPr sz="1200" b="0" i="0" u="none" strike="noStrike" kern="1200" baseline="0">
                <a:solidFill>
                  <a:schemeClr val="tx1">
                    <a:lumMod val="65000"/>
                    <a:lumOff val="35000"/>
                  </a:schemeClr>
                </a:solidFill>
                <a:latin typeface="Univers 57 Condensed" pitchFamily="50" charset="0"/>
                <a:ea typeface="+mn-ea"/>
                <a:cs typeface="+mn-cs"/>
              </a:defRPr>
            </a:pPr>
            <a:endParaRPr lang="en-US"/>
          </a:p>
        </c:txPr>
        <c:crossAx val="1822521504"/>
        <c:crosses val="autoZero"/>
        <c:crossBetween val="between"/>
      </c:valAx>
      <c:spPr>
        <a:noFill/>
        <a:ln>
          <a:solidFill>
            <a:schemeClr val="bg1">
              <a:lumMod val="75000"/>
            </a:schemeClr>
          </a:solidFill>
        </a:ln>
        <a:effectLst/>
      </c:spPr>
    </c:plotArea>
    <c:legend>
      <c:legendPos val="r"/>
      <c:overlay val="0"/>
      <c:spPr>
        <a:noFill/>
        <a:ln>
          <a:noFill/>
        </a:ln>
        <a:effectLst/>
      </c:spPr>
      <c:txPr>
        <a:bodyPr rot="0" spcFirstLastPara="1" vertOverflow="ellipsis" vert="horz" wrap="square" anchor="ctr" anchorCtr="1"/>
        <a:lstStyle/>
        <a:p>
          <a:pPr>
            <a:defRPr sz="1600" b="0" i="0" u="none" strike="noStrike" kern="1200" baseline="0">
              <a:solidFill>
                <a:schemeClr val="tx1">
                  <a:lumMod val="65000"/>
                  <a:lumOff val="35000"/>
                </a:schemeClr>
              </a:solidFill>
              <a:latin typeface="Univers 57 Condensed" pitchFamily="50" charset="0"/>
              <a:ea typeface="+mn-ea"/>
              <a:cs typeface="+mn-cs"/>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a:pPr>
      <a:endParaRPr lang="en-US"/>
    </a:p>
  </c:txPr>
  <c:externalData r:id="rId3">
    <c:autoUpdate val="0"/>
  </c:externalData>
</c:chartSpace>
</file>

<file path=word/charts/chart1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2"/>
          <c:order val="0"/>
          <c:tx>
            <c:strRef>
              <c:f>Weno!$D$2</c:f>
              <c:strCache>
                <c:ptCount val="1"/>
                <c:pt idx="0">
                  <c:v>mm</c:v>
                </c:pt>
              </c:strCache>
            </c:strRef>
          </c:tx>
          <c:spPr>
            <a:solidFill>
              <a:schemeClr val="tx2">
                <a:lumMod val="40000"/>
                <a:lumOff val="60000"/>
              </a:schemeClr>
            </a:solidFill>
            <a:ln>
              <a:solidFill>
                <a:schemeClr val="tx2">
                  <a:lumMod val="40000"/>
                  <a:lumOff val="60000"/>
                </a:schemeClr>
              </a:solidFill>
            </a:ln>
            <a:effectLst/>
          </c:spPr>
          <c:invertIfNegative val="0"/>
          <c:cat>
            <c:strRef>
              <c:f>Weno!$A$3:$A$335</c:f>
              <c:strCache>
                <c:ptCount val="333"/>
                <c:pt idx="0">
                  <c:v>1998-01</c:v>
                </c:pt>
                <c:pt idx="1">
                  <c:v>1998-02</c:v>
                </c:pt>
                <c:pt idx="2">
                  <c:v>1998-03</c:v>
                </c:pt>
                <c:pt idx="3">
                  <c:v>1998-04</c:v>
                </c:pt>
                <c:pt idx="4">
                  <c:v>1998-05</c:v>
                </c:pt>
                <c:pt idx="5">
                  <c:v>1998-06</c:v>
                </c:pt>
                <c:pt idx="6">
                  <c:v>1998-07</c:v>
                </c:pt>
                <c:pt idx="7">
                  <c:v>1998-08</c:v>
                </c:pt>
                <c:pt idx="8">
                  <c:v>1998-09</c:v>
                </c:pt>
                <c:pt idx="9">
                  <c:v>1998-10</c:v>
                </c:pt>
                <c:pt idx="10">
                  <c:v>1998-11</c:v>
                </c:pt>
                <c:pt idx="11">
                  <c:v>1998-12</c:v>
                </c:pt>
                <c:pt idx="12">
                  <c:v>1999-01</c:v>
                </c:pt>
                <c:pt idx="13">
                  <c:v>1999-02</c:v>
                </c:pt>
                <c:pt idx="14">
                  <c:v>1999-03</c:v>
                </c:pt>
                <c:pt idx="15">
                  <c:v>1999-04</c:v>
                </c:pt>
                <c:pt idx="16">
                  <c:v>1999-05</c:v>
                </c:pt>
                <c:pt idx="17">
                  <c:v>1999-06</c:v>
                </c:pt>
                <c:pt idx="18">
                  <c:v>1999-07</c:v>
                </c:pt>
                <c:pt idx="19">
                  <c:v>1999-08</c:v>
                </c:pt>
                <c:pt idx="20">
                  <c:v>1999-09</c:v>
                </c:pt>
                <c:pt idx="21">
                  <c:v>1999-10</c:v>
                </c:pt>
                <c:pt idx="22">
                  <c:v>1999-11</c:v>
                </c:pt>
                <c:pt idx="23">
                  <c:v>1999-12</c:v>
                </c:pt>
                <c:pt idx="24">
                  <c:v>2000-01</c:v>
                </c:pt>
                <c:pt idx="25">
                  <c:v>2000-02</c:v>
                </c:pt>
                <c:pt idx="26">
                  <c:v>2000-03</c:v>
                </c:pt>
                <c:pt idx="27">
                  <c:v>2000-04</c:v>
                </c:pt>
                <c:pt idx="28">
                  <c:v>2000-05</c:v>
                </c:pt>
                <c:pt idx="29">
                  <c:v>2000-06</c:v>
                </c:pt>
                <c:pt idx="30">
                  <c:v>2000-07</c:v>
                </c:pt>
                <c:pt idx="31">
                  <c:v>2000-08</c:v>
                </c:pt>
                <c:pt idx="32">
                  <c:v>2000-09</c:v>
                </c:pt>
                <c:pt idx="33">
                  <c:v>2000-10</c:v>
                </c:pt>
                <c:pt idx="34">
                  <c:v>2000-11</c:v>
                </c:pt>
                <c:pt idx="35">
                  <c:v>2000-12</c:v>
                </c:pt>
                <c:pt idx="36">
                  <c:v>2001-01</c:v>
                </c:pt>
                <c:pt idx="37">
                  <c:v>2001-02</c:v>
                </c:pt>
                <c:pt idx="38">
                  <c:v>2001-03</c:v>
                </c:pt>
                <c:pt idx="39">
                  <c:v>2001-04</c:v>
                </c:pt>
                <c:pt idx="40">
                  <c:v>2001-05</c:v>
                </c:pt>
                <c:pt idx="41">
                  <c:v>2001-06</c:v>
                </c:pt>
                <c:pt idx="42">
                  <c:v>2001-07</c:v>
                </c:pt>
                <c:pt idx="43">
                  <c:v>2001-08</c:v>
                </c:pt>
                <c:pt idx="44">
                  <c:v>2001-09</c:v>
                </c:pt>
                <c:pt idx="45">
                  <c:v>2001-10</c:v>
                </c:pt>
                <c:pt idx="46">
                  <c:v>2001-11</c:v>
                </c:pt>
                <c:pt idx="47">
                  <c:v>2001-12</c:v>
                </c:pt>
                <c:pt idx="48">
                  <c:v>2002-01</c:v>
                </c:pt>
                <c:pt idx="49">
                  <c:v>2002-02</c:v>
                </c:pt>
                <c:pt idx="50">
                  <c:v>2002-03</c:v>
                </c:pt>
                <c:pt idx="51">
                  <c:v>2002-04</c:v>
                </c:pt>
                <c:pt idx="52">
                  <c:v>2002-05</c:v>
                </c:pt>
                <c:pt idx="53">
                  <c:v>2002-06</c:v>
                </c:pt>
                <c:pt idx="54">
                  <c:v>2002-07</c:v>
                </c:pt>
                <c:pt idx="55">
                  <c:v>2002-08</c:v>
                </c:pt>
                <c:pt idx="56">
                  <c:v>2002-09</c:v>
                </c:pt>
                <c:pt idx="57">
                  <c:v>2002-10</c:v>
                </c:pt>
                <c:pt idx="58">
                  <c:v>2002-11</c:v>
                </c:pt>
                <c:pt idx="59">
                  <c:v>2002-12</c:v>
                </c:pt>
                <c:pt idx="60">
                  <c:v>2003-01</c:v>
                </c:pt>
                <c:pt idx="61">
                  <c:v>2003-02</c:v>
                </c:pt>
                <c:pt idx="62">
                  <c:v>2003-03</c:v>
                </c:pt>
                <c:pt idx="63">
                  <c:v>2003-04</c:v>
                </c:pt>
                <c:pt idx="64">
                  <c:v>2003-05</c:v>
                </c:pt>
                <c:pt idx="65">
                  <c:v>2003-06</c:v>
                </c:pt>
                <c:pt idx="66">
                  <c:v>2003-07</c:v>
                </c:pt>
                <c:pt idx="67">
                  <c:v>2003-08</c:v>
                </c:pt>
                <c:pt idx="68">
                  <c:v>2003-09</c:v>
                </c:pt>
                <c:pt idx="69">
                  <c:v>2003-10</c:v>
                </c:pt>
                <c:pt idx="70">
                  <c:v>2003-11</c:v>
                </c:pt>
                <c:pt idx="71">
                  <c:v>2003-12</c:v>
                </c:pt>
                <c:pt idx="72">
                  <c:v>2004-01</c:v>
                </c:pt>
                <c:pt idx="73">
                  <c:v>2004-02</c:v>
                </c:pt>
                <c:pt idx="74">
                  <c:v>2004-03</c:v>
                </c:pt>
                <c:pt idx="75">
                  <c:v>2004-04</c:v>
                </c:pt>
                <c:pt idx="76">
                  <c:v>2004-05</c:v>
                </c:pt>
                <c:pt idx="77">
                  <c:v>2004-06</c:v>
                </c:pt>
                <c:pt idx="78">
                  <c:v>2004-07</c:v>
                </c:pt>
                <c:pt idx="79">
                  <c:v>2004-08</c:v>
                </c:pt>
                <c:pt idx="80">
                  <c:v>2004-09</c:v>
                </c:pt>
                <c:pt idx="81">
                  <c:v>2004-10</c:v>
                </c:pt>
                <c:pt idx="82">
                  <c:v>2004-11</c:v>
                </c:pt>
                <c:pt idx="83">
                  <c:v>2004-12</c:v>
                </c:pt>
                <c:pt idx="84">
                  <c:v>2005-01</c:v>
                </c:pt>
                <c:pt idx="85">
                  <c:v>2005-02</c:v>
                </c:pt>
                <c:pt idx="86">
                  <c:v>2005-03</c:v>
                </c:pt>
                <c:pt idx="87">
                  <c:v>2005-04</c:v>
                </c:pt>
                <c:pt idx="88">
                  <c:v>2005-05</c:v>
                </c:pt>
                <c:pt idx="89">
                  <c:v>2005-06</c:v>
                </c:pt>
                <c:pt idx="90">
                  <c:v>2005-07</c:v>
                </c:pt>
                <c:pt idx="91">
                  <c:v>2005-08</c:v>
                </c:pt>
                <c:pt idx="92">
                  <c:v>2005-09</c:v>
                </c:pt>
                <c:pt idx="93">
                  <c:v>2005-10</c:v>
                </c:pt>
                <c:pt idx="94">
                  <c:v>2005-11</c:v>
                </c:pt>
                <c:pt idx="95">
                  <c:v>2005-12</c:v>
                </c:pt>
                <c:pt idx="96">
                  <c:v>2006-01</c:v>
                </c:pt>
                <c:pt idx="97">
                  <c:v>2006-02</c:v>
                </c:pt>
                <c:pt idx="98">
                  <c:v>2006-03</c:v>
                </c:pt>
                <c:pt idx="99">
                  <c:v>2006-04</c:v>
                </c:pt>
                <c:pt idx="100">
                  <c:v>2006-05</c:v>
                </c:pt>
                <c:pt idx="101">
                  <c:v>2006-06</c:v>
                </c:pt>
                <c:pt idx="102">
                  <c:v>2006-07</c:v>
                </c:pt>
                <c:pt idx="103">
                  <c:v>2006-08</c:v>
                </c:pt>
                <c:pt idx="104">
                  <c:v>2006-09</c:v>
                </c:pt>
                <c:pt idx="105">
                  <c:v>2006-10</c:v>
                </c:pt>
                <c:pt idx="106">
                  <c:v>2006-11</c:v>
                </c:pt>
                <c:pt idx="107">
                  <c:v>2006-12</c:v>
                </c:pt>
                <c:pt idx="108">
                  <c:v>2007-01</c:v>
                </c:pt>
                <c:pt idx="109">
                  <c:v>2007-02</c:v>
                </c:pt>
                <c:pt idx="110">
                  <c:v>2007-03</c:v>
                </c:pt>
                <c:pt idx="111">
                  <c:v>2007-04</c:v>
                </c:pt>
                <c:pt idx="112">
                  <c:v>2007-05</c:v>
                </c:pt>
                <c:pt idx="113">
                  <c:v>2007-06</c:v>
                </c:pt>
                <c:pt idx="114">
                  <c:v>2007-07</c:v>
                </c:pt>
                <c:pt idx="115">
                  <c:v>2007-08</c:v>
                </c:pt>
                <c:pt idx="116">
                  <c:v>2007-09</c:v>
                </c:pt>
                <c:pt idx="117">
                  <c:v>2007-10</c:v>
                </c:pt>
                <c:pt idx="118">
                  <c:v>2007-11</c:v>
                </c:pt>
                <c:pt idx="119">
                  <c:v>2007-12</c:v>
                </c:pt>
                <c:pt idx="120">
                  <c:v>2008-01</c:v>
                </c:pt>
                <c:pt idx="121">
                  <c:v>2008-02</c:v>
                </c:pt>
                <c:pt idx="122">
                  <c:v>2008-03</c:v>
                </c:pt>
                <c:pt idx="123">
                  <c:v>2008-04</c:v>
                </c:pt>
                <c:pt idx="124">
                  <c:v>2008-05</c:v>
                </c:pt>
                <c:pt idx="125">
                  <c:v>2008-06</c:v>
                </c:pt>
                <c:pt idx="126">
                  <c:v>2008-07</c:v>
                </c:pt>
                <c:pt idx="127">
                  <c:v>2008-08</c:v>
                </c:pt>
                <c:pt idx="128">
                  <c:v>2008-09</c:v>
                </c:pt>
                <c:pt idx="129">
                  <c:v>2008-10</c:v>
                </c:pt>
                <c:pt idx="130">
                  <c:v>2008-11</c:v>
                </c:pt>
                <c:pt idx="131">
                  <c:v>2008-12</c:v>
                </c:pt>
                <c:pt idx="132">
                  <c:v>2009-01</c:v>
                </c:pt>
                <c:pt idx="133">
                  <c:v>2009-02</c:v>
                </c:pt>
                <c:pt idx="134">
                  <c:v>2009-03</c:v>
                </c:pt>
                <c:pt idx="135">
                  <c:v>2009-04</c:v>
                </c:pt>
                <c:pt idx="136">
                  <c:v>2009-05</c:v>
                </c:pt>
                <c:pt idx="137">
                  <c:v>2009-06</c:v>
                </c:pt>
                <c:pt idx="138">
                  <c:v>2009-07</c:v>
                </c:pt>
                <c:pt idx="139">
                  <c:v>2009-08</c:v>
                </c:pt>
                <c:pt idx="140">
                  <c:v>2009-09</c:v>
                </c:pt>
                <c:pt idx="141">
                  <c:v>2009-10</c:v>
                </c:pt>
                <c:pt idx="142">
                  <c:v>2009-11</c:v>
                </c:pt>
                <c:pt idx="143">
                  <c:v>2009-12</c:v>
                </c:pt>
                <c:pt idx="144">
                  <c:v>2010-01</c:v>
                </c:pt>
                <c:pt idx="145">
                  <c:v>2010-02</c:v>
                </c:pt>
                <c:pt idx="146">
                  <c:v>2010-03</c:v>
                </c:pt>
                <c:pt idx="147">
                  <c:v>2010-04</c:v>
                </c:pt>
                <c:pt idx="148">
                  <c:v>2010-05</c:v>
                </c:pt>
                <c:pt idx="149">
                  <c:v>2010-06</c:v>
                </c:pt>
                <c:pt idx="150">
                  <c:v>2010-07</c:v>
                </c:pt>
                <c:pt idx="151">
                  <c:v>2010-08</c:v>
                </c:pt>
                <c:pt idx="152">
                  <c:v>2010-09</c:v>
                </c:pt>
                <c:pt idx="153">
                  <c:v>2010-10</c:v>
                </c:pt>
                <c:pt idx="154">
                  <c:v>2010-11</c:v>
                </c:pt>
                <c:pt idx="155">
                  <c:v>2010-12</c:v>
                </c:pt>
                <c:pt idx="156">
                  <c:v>2011-01</c:v>
                </c:pt>
                <c:pt idx="157">
                  <c:v>2011-02</c:v>
                </c:pt>
                <c:pt idx="158">
                  <c:v>2011-03</c:v>
                </c:pt>
                <c:pt idx="159">
                  <c:v>2011-04</c:v>
                </c:pt>
                <c:pt idx="160">
                  <c:v>2011-05</c:v>
                </c:pt>
                <c:pt idx="161">
                  <c:v>2011-06</c:v>
                </c:pt>
                <c:pt idx="162">
                  <c:v>2011-07</c:v>
                </c:pt>
                <c:pt idx="163">
                  <c:v>2011-08</c:v>
                </c:pt>
                <c:pt idx="164">
                  <c:v>2011-09</c:v>
                </c:pt>
                <c:pt idx="165">
                  <c:v>2011-10</c:v>
                </c:pt>
                <c:pt idx="166">
                  <c:v>2011-11</c:v>
                </c:pt>
                <c:pt idx="167">
                  <c:v>2011-12</c:v>
                </c:pt>
                <c:pt idx="168">
                  <c:v>2012-01</c:v>
                </c:pt>
                <c:pt idx="169">
                  <c:v>2012-02</c:v>
                </c:pt>
                <c:pt idx="170">
                  <c:v>2012-03</c:v>
                </c:pt>
                <c:pt idx="171">
                  <c:v>2012-04</c:v>
                </c:pt>
                <c:pt idx="172">
                  <c:v>2012-05</c:v>
                </c:pt>
                <c:pt idx="173">
                  <c:v>2012-06</c:v>
                </c:pt>
                <c:pt idx="174">
                  <c:v>2012-07</c:v>
                </c:pt>
                <c:pt idx="175">
                  <c:v>2012-08</c:v>
                </c:pt>
                <c:pt idx="176">
                  <c:v>2012-09</c:v>
                </c:pt>
                <c:pt idx="177">
                  <c:v>2012-10</c:v>
                </c:pt>
                <c:pt idx="178">
                  <c:v>2012-11</c:v>
                </c:pt>
                <c:pt idx="179">
                  <c:v>2012-12</c:v>
                </c:pt>
                <c:pt idx="180">
                  <c:v>2013-01</c:v>
                </c:pt>
                <c:pt idx="181">
                  <c:v>2013-02</c:v>
                </c:pt>
                <c:pt idx="182">
                  <c:v>2013-03</c:v>
                </c:pt>
                <c:pt idx="183">
                  <c:v>2013-04</c:v>
                </c:pt>
                <c:pt idx="184">
                  <c:v>2013-05</c:v>
                </c:pt>
                <c:pt idx="185">
                  <c:v>2013-06</c:v>
                </c:pt>
                <c:pt idx="186">
                  <c:v>2013-07</c:v>
                </c:pt>
                <c:pt idx="187">
                  <c:v>2013-08</c:v>
                </c:pt>
                <c:pt idx="188">
                  <c:v>2013-09</c:v>
                </c:pt>
                <c:pt idx="189">
                  <c:v>2013-10</c:v>
                </c:pt>
                <c:pt idx="190">
                  <c:v>2013-11</c:v>
                </c:pt>
                <c:pt idx="191">
                  <c:v>2013-12</c:v>
                </c:pt>
                <c:pt idx="192">
                  <c:v>2014-01</c:v>
                </c:pt>
                <c:pt idx="193">
                  <c:v>2014-02</c:v>
                </c:pt>
                <c:pt idx="194">
                  <c:v>2014-03</c:v>
                </c:pt>
                <c:pt idx="195">
                  <c:v>2014-04</c:v>
                </c:pt>
                <c:pt idx="196">
                  <c:v>2014-05</c:v>
                </c:pt>
                <c:pt idx="197">
                  <c:v>2014-06</c:v>
                </c:pt>
                <c:pt idx="198">
                  <c:v>2014-07</c:v>
                </c:pt>
                <c:pt idx="199">
                  <c:v>2014-08</c:v>
                </c:pt>
                <c:pt idx="200">
                  <c:v>2014-09</c:v>
                </c:pt>
                <c:pt idx="201">
                  <c:v>2014-10</c:v>
                </c:pt>
                <c:pt idx="202">
                  <c:v>2014-11</c:v>
                </c:pt>
                <c:pt idx="203">
                  <c:v>2014-12</c:v>
                </c:pt>
                <c:pt idx="204">
                  <c:v>2015-01</c:v>
                </c:pt>
                <c:pt idx="205">
                  <c:v>2015-02</c:v>
                </c:pt>
                <c:pt idx="206">
                  <c:v>2015-03</c:v>
                </c:pt>
                <c:pt idx="207">
                  <c:v>2015-04</c:v>
                </c:pt>
                <c:pt idx="208">
                  <c:v>2015-05</c:v>
                </c:pt>
                <c:pt idx="209">
                  <c:v>2015-06</c:v>
                </c:pt>
                <c:pt idx="210">
                  <c:v>2015-07</c:v>
                </c:pt>
                <c:pt idx="211">
                  <c:v>2015-08</c:v>
                </c:pt>
                <c:pt idx="212">
                  <c:v>2015-09</c:v>
                </c:pt>
                <c:pt idx="213">
                  <c:v>2015-10</c:v>
                </c:pt>
                <c:pt idx="214">
                  <c:v>2015-11</c:v>
                </c:pt>
                <c:pt idx="215">
                  <c:v>2015-12</c:v>
                </c:pt>
                <c:pt idx="216">
                  <c:v>2016-01</c:v>
                </c:pt>
                <c:pt idx="217">
                  <c:v>2016-02</c:v>
                </c:pt>
                <c:pt idx="218">
                  <c:v>2016-03</c:v>
                </c:pt>
                <c:pt idx="219">
                  <c:v>2016-04</c:v>
                </c:pt>
                <c:pt idx="220">
                  <c:v>2016-05</c:v>
                </c:pt>
                <c:pt idx="221">
                  <c:v>2016-06</c:v>
                </c:pt>
                <c:pt idx="222">
                  <c:v>2016-07</c:v>
                </c:pt>
                <c:pt idx="223">
                  <c:v>2016-08</c:v>
                </c:pt>
                <c:pt idx="224">
                  <c:v>2016-09</c:v>
                </c:pt>
                <c:pt idx="225">
                  <c:v>2016-10</c:v>
                </c:pt>
                <c:pt idx="226">
                  <c:v>2016-11</c:v>
                </c:pt>
                <c:pt idx="227">
                  <c:v>2016-12</c:v>
                </c:pt>
                <c:pt idx="228">
                  <c:v>2017-01</c:v>
                </c:pt>
                <c:pt idx="229">
                  <c:v>2017-02</c:v>
                </c:pt>
                <c:pt idx="230">
                  <c:v>2017-03</c:v>
                </c:pt>
                <c:pt idx="231">
                  <c:v>2017-04</c:v>
                </c:pt>
                <c:pt idx="232">
                  <c:v>2017-05</c:v>
                </c:pt>
                <c:pt idx="233">
                  <c:v>2017-06</c:v>
                </c:pt>
                <c:pt idx="234">
                  <c:v>2017-07</c:v>
                </c:pt>
                <c:pt idx="235">
                  <c:v>2017-08</c:v>
                </c:pt>
                <c:pt idx="236">
                  <c:v>2017-09</c:v>
                </c:pt>
                <c:pt idx="237">
                  <c:v>2017-10</c:v>
                </c:pt>
                <c:pt idx="238">
                  <c:v>2017-11</c:v>
                </c:pt>
                <c:pt idx="239">
                  <c:v>2017-12</c:v>
                </c:pt>
                <c:pt idx="240">
                  <c:v>2018-01</c:v>
                </c:pt>
                <c:pt idx="241">
                  <c:v>2018-02</c:v>
                </c:pt>
                <c:pt idx="242">
                  <c:v>2018-03</c:v>
                </c:pt>
                <c:pt idx="243">
                  <c:v>2018-04</c:v>
                </c:pt>
                <c:pt idx="244">
                  <c:v>2018-05</c:v>
                </c:pt>
                <c:pt idx="245">
                  <c:v>2018-06</c:v>
                </c:pt>
                <c:pt idx="246">
                  <c:v>2018-07</c:v>
                </c:pt>
                <c:pt idx="247">
                  <c:v>2018-08</c:v>
                </c:pt>
                <c:pt idx="248">
                  <c:v>2018-09</c:v>
                </c:pt>
                <c:pt idx="249">
                  <c:v>2018-10</c:v>
                </c:pt>
                <c:pt idx="250">
                  <c:v>2018-11</c:v>
                </c:pt>
                <c:pt idx="251">
                  <c:v>2018-12</c:v>
                </c:pt>
                <c:pt idx="252">
                  <c:v>2019-01</c:v>
                </c:pt>
                <c:pt idx="253">
                  <c:v>2019-02</c:v>
                </c:pt>
                <c:pt idx="254">
                  <c:v>2019-03</c:v>
                </c:pt>
                <c:pt idx="255">
                  <c:v>2019-04</c:v>
                </c:pt>
                <c:pt idx="256">
                  <c:v>2019-05</c:v>
                </c:pt>
                <c:pt idx="257">
                  <c:v>2019-06</c:v>
                </c:pt>
                <c:pt idx="258">
                  <c:v>2019-07</c:v>
                </c:pt>
                <c:pt idx="259">
                  <c:v>2019-08</c:v>
                </c:pt>
                <c:pt idx="260">
                  <c:v>2019-09</c:v>
                </c:pt>
                <c:pt idx="261">
                  <c:v>2019-10</c:v>
                </c:pt>
                <c:pt idx="262">
                  <c:v>2019-11</c:v>
                </c:pt>
                <c:pt idx="263">
                  <c:v>2019-12</c:v>
                </c:pt>
                <c:pt idx="264">
                  <c:v>2020-01</c:v>
                </c:pt>
                <c:pt idx="265">
                  <c:v>2020-02</c:v>
                </c:pt>
                <c:pt idx="266">
                  <c:v>2020-03</c:v>
                </c:pt>
                <c:pt idx="267">
                  <c:v>2020-04</c:v>
                </c:pt>
                <c:pt idx="268">
                  <c:v>2020-05</c:v>
                </c:pt>
                <c:pt idx="269">
                  <c:v>2020-06</c:v>
                </c:pt>
                <c:pt idx="270">
                  <c:v>2020-07</c:v>
                </c:pt>
                <c:pt idx="271">
                  <c:v>2020-08</c:v>
                </c:pt>
                <c:pt idx="272">
                  <c:v>2020-09</c:v>
                </c:pt>
                <c:pt idx="273">
                  <c:v>2020-10</c:v>
                </c:pt>
                <c:pt idx="274">
                  <c:v>2020-11</c:v>
                </c:pt>
                <c:pt idx="275">
                  <c:v>2020-12</c:v>
                </c:pt>
                <c:pt idx="276">
                  <c:v>2021-01</c:v>
                </c:pt>
                <c:pt idx="277">
                  <c:v>2021-02</c:v>
                </c:pt>
                <c:pt idx="278">
                  <c:v>2021-03</c:v>
                </c:pt>
                <c:pt idx="279">
                  <c:v>2021-04</c:v>
                </c:pt>
                <c:pt idx="280">
                  <c:v>2021-05</c:v>
                </c:pt>
                <c:pt idx="281">
                  <c:v>2021-06</c:v>
                </c:pt>
                <c:pt idx="282">
                  <c:v>2021-07</c:v>
                </c:pt>
                <c:pt idx="283">
                  <c:v>2021-08</c:v>
                </c:pt>
                <c:pt idx="284">
                  <c:v>2021-09</c:v>
                </c:pt>
                <c:pt idx="285">
                  <c:v>2021-10</c:v>
                </c:pt>
                <c:pt idx="286">
                  <c:v>2021-11</c:v>
                </c:pt>
                <c:pt idx="287">
                  <c:v>2021-12</c:v>
                </c:pt>
                <c:pt idx="288">
                  <c:v>2022-01</c:v>
                </c:pt>
                <c:pt idx="289">
                  <c:v>2022-02</c:v>
                </c:pt>
                <c:pt idx="290">
                  <c:v>2022-03</c:v>
                </c:pt>
                <c:pt idx="291">
                  <c:v>2022-04</c:v>
                </c:pt>
                <c:pt idx="292">
                  <c:v>2022-05</c:v>
                </c:pt>
                <c:pt idx="293">
                  <c:v>2022-06</c:v>
                </c:pt>
                <c:pt idx="294">
                  <c:v>2022-07</c:v>
                </c:pt>
                <c:pt idx="295">
                  <c:v>2022-08</c:v>
                </c:pt>
                <c:pt idx="296">
                  <c:v>2022-09</c:v>
                </c:pt>
                <c:pt idx="297">
                  <c:v>2022-10</c:v>
                </c:pt>
                <c:pt idx="298">
                  <c:v>2022-11</c:v>
                </c:pt>
                <c:pt idx="299">
                  <c:v>2022-12</c:v>
                </c:pt>
                <c:pt idx="300">
                  <c:v>2023-01</c:v>
                </c:pt>
                <c:pt idx="301">
                  <c:v>2023-02</c:v>
                </c:pt>
                <c:pt idx="302">
                  <c:v>2023-03</c:v>
                </c:pt>
                <c:pt idx="303">
                  <c:v>2023-04</c:v>
                </c:pt>
                <c:pt idx="304">
                  <c:v>2023-05</c:v>
                </c:pt>
                <c:pt idx="305">
                  <c:v>2023-06</c:v>
                </c:pt>
                <c:pt idx="306">
                  <c:v>2023-07</c:v>
                </c:pt>
                <c:pt idx="307">
                  <c:v>2023-08</c:v>
                </c:pt>
                <c:pt idx="308">
                  <c:v>2023-09</c:v>
                </c:pt>
                <c:pt idx="309">
                  <c:v>2023-10</c:v>
                </c:pt>
                <c:pt idx="310">
                  <c:v>2023-11</c:v>
                </c:pt>
                <c:pt idx="311">
                  <c:v>2023-12</c:v>
                </c:pt>
                <c:pt idx="312">
                  <c:v>2024-01</c:v>
                </c:pt>
                <c:pt idx="313">
                  <c:v>2024-02</c:v>
                </c:pt>
                <c:pt idx="314">
                  <c:v>2024-03</c:v>
                </c:pt>
                <c:pt idx="315">
                  <c:v>2024-04</c:v>
                </c:pt>
                <c:pt idx="316">
                  <c:v>2024-05</c:v>
                </c:pt>
                <c:pt idx="317">
                  <c:v>2024-06</c:v>
                </c:pt>
                <c:pt idx="318">
                  <c:v>2024-07</c:v>
                </c:pt>
                <c:pt idx="319">
                  <c:v>2024-08</c:v>
                </c:pt>
                <c:pt idx="320">
                  <c:v>2024-09</c:v>
                </c:pt>
                <c:pt idx="321">
                  <c:v>2024-10</c:v>
                </c:pt>
                <c:pt idx="322">
                  <c:v>2024-11</c:v>
                </c:pt>
                <c:pt idx="323">
                  <c:v>2024-12</c:v>
                </c:pt>
                <c:pt idx="324">
                  <c:v>2025-01</c:v>
                </c:pt>
                <c:pt idx="325">
                  <c:v>2025-02</c:v>
                </c:pt>
                <c:pt idx="326">
                  <c:v>2025-03</c:v>
                </c:pt>
                <c:pt idx="327">
                  <c:v>2025-04</c:v>
                </c:pt>
                <c:pt idx="328">
                  <c:v>2025-05</c:v>
                </c:pt>
                <c:pt idx="329">
                  <c:v>2025-06</c:v>
                </c:pt>
                <c:pt idx="330">
                  <c:v>2025-07</c:v>
                </c:pt>
                <c:pt idx="331">
                  <c:v>2025-08</c:v>
                </c:pt>
                <c:pt idx="332">
                  <c:v>2025-09</c:v>
                </c:pt>
              </c:strCache>
            </c:strRef>
          </c:cat>
          <c:val>
            <c:numRef>
              <c:f>Weno!$D$3:$D$335</c:f>
              <c:numCache>
                <c:formatCode>General</c:formatCode>
                <c:ptCount val="333"/>
                <c:pt idx="0">
                  <c:v>11.289999882</c:v>
                </c:pt>
                <c:pt idx="1">
                  <c:v>1.859999889</c:v>
                </c:pt>
                <c:pt idx="2">
                  <c:v>0.66249998399999999</c:v>
                </c:pt>
                <c:pt idx="3">
                  <c:v>2.432499832</c:v>
                </c:pt>
                <c:pt idx="4">
                  <c:v>13.027499337</c:v>
                </c:pt>
                <c:pt idx="5">
                  <c:v>230.30750187699999</c:v>
                </c:pt>
                <c:pt idx="6">
                  <c:v>377.37248466099999</c:v>
                </c:pt>
                <c:pt idx="7">
                  <c:v>168.60250511999999</c:v>
                </c:pt>
                <c:pt idx="8">
                  <c:v>179.525003285</c:v>
                </c:pt>
                <c:pt idx="9">
                  <c:v>221.58999733600001</c:v>
                </c:pt>
                <c:pt idx="10">
                  <c:v>323.10500014899998</c:v>
                </c:pt>
                <c:pt idx="11">
                  <c:v>368.26250305600001</c:v>
                </c:pt>
                <c:pt idx="12">
                  <c:v>316.80499189699998</c:v>
                </c:pt>
                <c:pt idx="13">
                  <c:v>235.13495802</c:v>
                </c:pt>
                <c:pt idx="14">
                  <c:v>9.2424997149999992</c:v>
                </c:pt>
                <c:pt idx="15">
                  <c:v>54.392499528000002</c:v>
                </c:pt>
                <c:pt idx="16">
                  <c:v>37.912499441000001</c:v>
                </c:pt>
                <c:pt idx="17">
                  <c:v>227.09249687100001</c:v>
                </c:pt>
                <c:pt idx="18">
                  <c:v>324.72749607399999</c:v>
                </c:pt>
                <c:pt idx="19">
                  <c:v>355.837509458</c:v>
                </c:pt>
                <c:pt idx="20">
                  <c:v>354.01248543299999</c:v>
                </c:pt>
                <c:pt idx="21">
                  <c:v>520.61997783899994</c:v>
                </c:pt>
                <c:pt idx="22">
                  <c:v>606.26497463500004</c:v>
                </c:pt>
                <c:pt idx="23">
                  <c:v>421.772494849</c:v>
                </c:pt>
                <c:pt idx="24">
                  <c:v>228.14000450899999</c:v>
                </c:pt>
                <c:pt idx="25">
                  <c:v>271.84499845400001</c:v>
                </c:pt>
                <c:pt idx="26">
                  <c:v>293.82748939099997</c:v>
                </c:pt>
                <c:pt idx="27">
                  <c:v>218.447500891</c:v>
                </c:pt>
                <c:pt idx="28">
                  <c:v>301.12749429299998</c:v>
                </c:pt>
                <c:pt idx="29">
                  <c:v>378.58499792999999</c:v>
                </c:pt>
                <c:pt idx="30">
                  <c:v>257.75999272199999</c:v>
                </c:pt>
                <c:pt idx="31">
                  <c:v>766.362474765</c:v>
                </c:pt>
                <c:pt idx="32">
                  <c:v>445.88748545999999</c:v>
                </c:pt>
                <c:pt idx="33">
                  <c:v>265.16999157399999</c:v>
                </c:pt>
                <c:pt idx="34">
                  <c:v>355.707484434999</c:v>
                </c:pt>
                <c:pt idx="35">
                  <c:v>393.08748948800002</c:v>
                </c:pt>
                <c:pt idx="36">
                  <c:v>284.52249107699998</c:v>
                </c:pt>
                <c:pt idx="37">
                  <c:v>202.22749635</c:v>
                </c:pt>
                <c:pt idx="38">
                  <c:v>178.84500034199999</c:v>
                </c:pt>
                <c:pt idx="39">
                  <c:v>130.309996759</c:v>
                </c:pt>
                <c:pt idx="40">
                  <c:v>123.002500337999</c:v>
                </c:pt>
                <c:pt idx="41">
                  <c:v>261.85747872399998</c:v>
                </c:pt>
                <c:pt idx="42">
                  <c:v>352.42749138599999</c:v>
                </c:pt>
                <c:pt idx="43">
                  <c:v>378.70498352999999</c:v>
                </c:pt>
                <c:pt idx="44">
                  <c:v>174.15499477099999</c:v>
                </c:pt>
                <c:pt idx="45">
                  <c:v>423.05249419</c:v>
                </c:pt>
                <c:pt idx="46">
                  <c:v>272.642496641999</c:v>
                </c:pt>
                <c:pt idx="47">
                  <c:v>192.93498963599899</c:v>
                </c:pt>
                <c:pt idx="48">
                  <c:v>78.769998505000004</c:v>
                </c:pt>
                <c:pt idx="49">
                  <c:v>364.71998643799998</c:v>
                </c:pt>
                <c:pt idx="50">
                  <c:v>145.437490349</c:v>
                </c:pt>
                <c:pt idx="51">
                  <c:v>272.66249752900001</c:v>
                </c:pt>
                <c:pt idx="52">
                  <c:v>348.59998750099999</c:v>
                </c:pt>
                <c:pt idx="53">
                  <c:v>545.50748132199999</c:v>
                </c:pt>
                <c:pt idx="54">
                  <c:v>585.44496707999997</c:v>
                </c:pt>
                <c:pt idx="55">
                  <c:v>259.51749623799998</c:v>
                </c:pt>
                <c:pt idx="56">
                  <c:v>241.58248963599999</c:v>
                </c:pt>
                <c:pt idx="57">
                  <c:v>200.76249436099999</c:v>
                </c:pt>
                <c:pt idx="58">
                  <c:v>171.277503263</c:v>
                </c:pt>
                <c:pt idx="59">
                  <c:v>166.10998445799899</c:v>
                </c:pt>
                <c:pt idx="60">
                  <c:v>187.597494009</c:v>
                </c:pt>
                <c:pt idx="61">
                  <c:v>106.084992298999</c:v>
                </c:pt>
                <c:pt idx="62">
                  <c:v>151.59749802900001</c:v>
                </c:pt>
                <c:pt idx="63">
                  <c:v>299.86749740599998</c:v>
                </c:pt>
                <c:pt idx="64">
                  <c:v>437.38001428699999</c:v>
                </c:pt>
                <c:pt idx="65">
                  <c:v>409.607492043999</c:v>
                </c:pt>
                <c:pt idx="66">
                  <c:v>433.90749086300002</c:v>
                </c:pt>
                <c:pt idx="67">
                  <c:v>275.00249974000002</c:v>
                </c:pt>
                <c:pt idx="68">
                  <c:v>498.49497896299999</c:v>
                </c:pt>
                <c:pt idx="69">
                  <c:v>226.06750488099999</c:v>
                </c:pt>
                <c:pt idx="70">
                  <c:v>340.16250177299997</c:v>
                </c:pt>
                <c:pt idx="71">
                  <c:v>362.79497829299999</c:v>
                </c:pt>
                <c:pt idx="72">
                  <c:v>106.394994525</c:v>
                </c:pt>
                <c:pt idx="73">
                  <c:v>275.519988313</c:v>
                </c:pt>
                <c:pt idx="74">
                  <c:v>150.12999841199999</c:v>
                </c:pt>
                <c:pt idx="75">
                  <c:v>853.45746654599998</c:v>
                </c:pt>
                <c:pt idx="76">
                  <c:v>369.12998747900002</c:v>
                </c:pt>
                <c:pt idx="77">
                  <c:v>497.89998385799998</c:v>
                </c:pt>
                <c:pt idx="78">
                  <c:v>159.187501416</c:v>
                </c:pt>
                <c:pt idx="79">
                  <c:v>470.324999042</c:v>
                </c:pt>
                <c:pt idx="80">
                  <c:v>152.65249813599999</c:v>
                </c:pt>
                <c:pt idx="81">
                  <c:v>215.54000050100001</c:v>
                </c:pt>
                <c:pt idx="82">
                  <c:v>152.412499567</c:v>
                </c:pt>
                <c:pt idx="83">
                  <c:v>128.34250034300001</c:v>
                </c:pt>
                <c:pt idx="84">
                  <c:v>424.89248853800001</c:v>
                </c:pt>
                <c:pt idx="85">
                  <c:v>20.037499926999999</c:v>
                </c:pt>
                <c:pt idx="86">
                  <c:v>404.03500081800001</c:v>
                </c:pt>
                <c:pt idx="87">
                  <c:v>249.90498960799999</c:v>
                </c:pt>
                <c:pt idx="88">
                  <c:v>243.360004323</c:v>
                </c:pt>
                <c:pt idx="89">
                  <c:v>199.82499877699999</c:v>
                </c:pt>
                <c:pt idx="90">
                  <c:v>209.184995421</c:v>
                </c:pt>
                <c:pt idx="91">
                  <c:v>244.03999695599899</c:v>
                </c:pt>
                <c:pt idx="92">
                  <c:v>395.39000073699998</c:v>
                </c:pt>
                <c:pt idx="93">
                  <c:v>256.98999692199999</c:v>
                </c:pt>
                <c:pt idx="94">
                  <c:v>193.14249814900001</c:v>
                </c:pt>
                <c:pt idx="95">
                  <c:v>295.13000850499998</c:v>
                </c:pt>
                <c:pt idx="96">
                  <c:v>129.95999117700001</c:v>
                </c:pt>
                <c:pt idx="97">
                  <c:v>79.097496804000002</c:v>
                </c:pt>
                <c:pt idx="98">
                  <c:v>194.759991579</c:v>
                </c:pt>
                <c:pt idx="99">
                  <c:v>51.659998518999998</c:v>
                </c:pt>
                <c:pt idx="100">
                  <c:v>453.65497150300001</c:v>
                </c:pt>
                <c:pt idx="101">
                  <c:v>247.200000475</c:v>
                </c:pt>
                <c:pt idx="102">
                  <c:v>422.89497718600001</c:v>
                </c:pt>
                <c:pt idx="103">
                  <c:v>564.15498308500003</c:v>
                </c:pt>
                <c:pt idx="104">
                  <c:v>393.31749969499998</c:v>
                </c:pt>
                <c:pt idx="105">
                  <c:v>196.167495062</c:v>
                </c:pt>
                <c:pt idx="106">
                  <c:v>217.67248548699999</c:v>
                </c:pt>
                <c:pt idx="107">
                  <c:v>213.96748680499999</c:v>
                </c:pt>
                <c:pt idx="108">
                  <c:v>50.102499973999997</c:v>
                </c:pt>
                <c:pt idx="109">
                  <c:v>158.68499979800001</c:v>
                </c:pt>
                <c:pt idx="110">
                  <c:v>143.46249661100001</c:v>
                </c:pt>
                <c:pt idx="111">
                  <c:v>191.31999037899999</c:v>
                </c:pt>
                <c:pt idx="112">
                  <c:v>295.51748867399999</c:v>
                </c:pt>
                <c:pt idx="113">
                  <c:v>251.51749218699999</c:v>
                </c:pt>
                <c:pt idx="114">
                  <c:v>278.57999943800002</c:v>
                </c:pt>
                <c:pt idx="115">
                  <c:v>132.70750117099999</c:v>
                </c:pt>
                <c:pt idx="116">
                  <c:v>289.44498749500002</c:v>
                </c:pt>
                <c:pt idx="117">
                  <c:v>209.962489914</c:v>
                </c:pt>
                <c:pt idx="118">
                  <c:v>344.89749698000003</c:v>
                </c:pt>
                <c:pt idx="119">
                  <c:v>225.90998941399999</c:v>
                </c:pt>
                <c:pt idx="120">
                  <c:v>226.242492962</c:v>
                </c:pt>
                <c:pt idx="121">
                  <c:v>171.47999395100001</c:v>
                </c:pt>
                <c:pt idx="122">
                  <c:v>233.06249395099999</c:v>
                </c:pt>
                <c:pt idx="123">
                  <c:v>286.73500133900001</c:v>
                </c:pt>
                <c:pt idx="124">
                  <c:v>354.61999150499997</c:v>
                </c:pt>
                <c:pt idx="125">
                  <c:v>200.480007535</c:v>
                </c:pt>
                <c:pt idx="126">
                  <c:v>179.24499414600001</c:v>
                </c:pt>
                <c:pt idx="127">
                  <c:v>63.600000188999999</c:v>
                </c:pt>
                <c:pt idx="128">
                  <c:v>273.42749921699999</c:v>
                </c:pt>
                <c:pt idx="129">
                  <c:v>271.81497957699997</c:v>
                </c:pt>
                <c:pt idx="130">
                  <c:v>332.16499415499999</c:v>
                </c:pt>
                <c:pt idx="131">
                  <c:v>114.185003701</c:v>
                </c:pt>
                <c:pt idx="132">
                  <c:v>184.05999403999999</c:v>
                </c:pt>
                <c:pt idx="133">
                  <c:v>95.032501662999906</c:v>
                </c:pt>
                <c:pt idx="134">
                  <c:v>79.774997967999994</c:v>
                </c:pt>
                <c:pt idx="135">
                  <c:v>221.875007154</c:v>
                </c:pt>
                <c:pt idx="136">
                  <c:v>184.02999169699899</c:v>
                </c:pt>
                <c:pt idx="137">
                  <c:v>109.799999856</c:v>
                </c:pt>
                <c:pt idx="138">
                  <c:v>472.824992313</c:v>
                </c:pt>
                <c:pt idx="139">
                  <c:v>239.09749734600001</c:v>
                </c:pt>
                <c:pt idx="140">
                  <c:v>469.957508249</c:v>
                </c:pt>
                <c:pt idx="141">
                  <c:v>390.50999158299999</c:v>
                </c:pt>
                <c:pt idx="142">
                  <c:v>541.55249920000006</c:v>
                </c:pt>
                <c:pt idx="143">
                  <c:v>182.58249098600001</c:v>
                </c:pt>
                <c:pt idx="144">
                  <c:v>96.009995830999998</c:v>
                </c:pt>
                <c:pt idx="145">
                  <c:v>18.422499374000001</c:v>
                </c:pt>
                <c:pt idx="146">
                  <c:v>103.199999467</c:v>
                </c:pt>
                <c:pt idx="147">
                  <c:v>204.40999314000001</c:v>
                </c:pt>
                <c:pt idx="148">
                  <c:v>123.672500236</c:v>
                </c:pt>
                <c:pt idx="149">
                  <c:v>353.22750780600001</c:v>
                </c:pt>
                <c:pt idx="150">
                  <c:v>365.98498770399999</c:v>
                </c:pt>
                <c:pt idx="151">
                  <c:v>585.08750788700002</c:v>
                </c:pt>
                <c:pt idx="152">
                  <c:v>254.74248950200001</c:v>
                </c:pt>
                <c:pt idx="153">
                  <c:v>476.81250453299998</c:v>
                </c:pt>
                <c:pt idx="154">
                  <c:v>124.247500778999</c:v>
                </c:pt>
                <c:pt idx="155">
                  <c:v>247.33249442099901</c:v>
                </c:pt>
                <c:pt idx="156">
                  <c:v>234.45249600700001</c:v>
                </c:pt>
                <c:pt idx="157">
                  <c:v>145.047493215</c:v>
                </c:pt>
                <c:pt idx="158">
                  <c:v>214.567492754</c:v>
                </c:pt>
                <c:pt idx="159">
                  <c:v>165.517500394</c:v>
                </c:pt>
                <c:pt idx="160">
                  <c:v>318.95498320899998</c:v>
                </c:pt>
                <c:pt idx="161">
                  <c:v>495.73500015600001</c:v>
                </c:pt>
                <c:pt idx="162">
                  <c:v>368.49499267599998</c:v>
                </c:pt>
                <c:pt idx="163">
                  <c:v>255.96500062800001</c:v>
                </c:pt>
                <c:pt idx="164">
                  <c:v>379.13248341600001</c:v>
                </c:pt>
                <c:pt idx="165">
                  <c:v>302.04249752499999</c:v>
                </c:pt>
                <c:pt idx="166">
                  <c:v>295.502494799999</c:v>
                </c:pt>
                <c:pt idx="167">
                  <c:v>215.45749069499999</c:v>
                </c:pt>
                <c:pt idx="168">
                  <c:v>134.71249821000001</c:v>
                </c:pt>
                <c:pt idx="169">
                  <c:v>361.87497337000002</c:v>
                </c:pt>
                <c:pt idx="170">
                  <c:v>152.64250032199999</c:v>
                </c:pt>
                <c:pt idx="171">
                  <c:v>127.972493691</c:v>
                </c:pt>
                <c:pt idx="172">
                  <c:v>323.882485879</c:v>
                </c:pt>
                <c:pt idx="173">
                  <c:v>317.25749426300001</c:v>
                </c:pt>
                <c:pt idx="174">
                  <c:v>290.94499643699999</c:v>
                </c:pt>
                <c:pt idx="175">
                  <c:v>547.37249250000002</c:v>
                </c:pt>
                <c:pt idx="176">
                  <c:v>327.76750384100001</c:v>
                </c:pt>
                <c:pt idx="177">
                  <c:v>315.14999500499999</c:v>
                </c:pt>
                <c:pt idx="178">
                  <c:v>252.21999857599999</c:v>
                </c:pt>
                <c:pt idx="179">
                  <c:v>179.97499720100001</c:v>
                </c:pt>
                <c:pt idx="180">
                  <c:v>133.09749738400001</c:v>
                </c:pt>
                <c:pt idx="181">
                  <c:v>255.429993744</c:v>
                </c:pt>
                <c:pt idx="182">
                  <c:v>393.84248638000003</c:v>
                </c:pt>
                <c:pt idx="183">
                  <c:v>164.08749792699999</c:v>
                </c:pt>
                <c:pt idx="184">
                  <c:v>141.45999871499899</c:v>
                </c:pt>
                <c:pt idx="185">
                  <c:v>218.837496039</c:v>
                </c:pt>
                <c:pt idx="186">
                  <c:v>187.954999074</c:v>
                </c:pt>
                <c:pt idx="187">
                  <c:v>181.072493861</c:v>
                </c:pt>
                <c:pt idx="188">
                  <c:v>236.05999308299999</c:v>
                </c:pt>
                <c:pt idx="189">
                  <c:v>452.63247658300003</c:v>
                </c:pt>
                <c:pt idx="190">
                  <c:v>252.804987404</c:v>
                </c:pt>
                <c:pt idx="191">
                  <c:v>159.23749715099899</c:v>
                </c:pt>
                <c:pt idx="192">
                  <c:v>116.737498006</c:v>
                </c:pt>
                <c:pt idx="193">
                  <c:v>618.93000218999998</c:v>
                </c:pt>
                <c:pt idx="194">
                  <c:v>276.04749600100001</c:v>
                </c:pt>
                <c:pt idx="195">
                  <c:v>415.12997233700003</c:v>
                </c:pt>
                <c:pt idx="196">
                  <c:v>276.764982729</c:v>
                </c:pt>
                <c:pt idx="197">
                  <c:v>194.58249327300001</c:v>
                </c:pt>
                <c:pt idx="198">
                  <c:v>334.364997716</c:v>
                </c:pt>
                <c:pt idx="199">
                  <c:v>159.83249859</c:v>
                </c:pt>
                <c:pt idx="200">
                  <c:v>273.63499486000001</c:v>
                </c:pt>
                <c:pt idx="201">
                  <c:v>227.13500295899999</c:v>
                </c:pt>
                <c:pt idx="202">
                  <c:v>100.20500135</c:v>
                </c:pt>
                <c:pt idx="203">
                  <c:v>183.619990685</c:v>
                </c:pt>
                <c:pt idx="204">
                  <c:v>315.68249178799999</c:v>
                </c:pt>
                <c:pt idx="205">
                  <c:v>191.799993599</c:v>
                </c:pt>
                <c:pt idx="206">
                  <c:v>242.40999636800001</c:v>
                </c:pt>
                <c:pt idx="207">
                  <c:v>253.007494339</c:v>
                </c:pt>
                <c:pt idx="208">
                  <c:v>169.13999027399899</c:v>
                </c:pt>
                <c:pt idx="209">
                  <c:v>424.42748755500003</c:v>
                </c:pt>
                <c:pt idx="210">
                  <c:v>71.530000388000005</c:v>
                </c:pt>
                <c:pt idx="211">
                  <c:v>275.75999413699998</c:v>
                </c:pt>
                <c:pt idx="212">
                  <c:v>513.944969679</c:v>
                </c:pt>
                <c:pt idx="213">
                  <c:v>110.327501334</c:v>
                </c:pt>
                <c:pt idx="214">
                  <c:v>117.974998665999</c:v>
                </c:pt>
                <c:pt idx="215">
                  <c:v>126.72499837700001</c:v>
                </c:pt>
                <c:pt idx="216">
                  <c:v>233.25249401900001</c:v>
                </c:pt>
                <c:pt idx="217">
                  <c:v>28.815000379000001</c:v>
                </c:pt>
                <c:pt idx="218">
                  <c:v>22.559999296000001</c:v>
                </c:pt>
                <c:pt idx="219">
                  <c:v>146.517494935</c:v>
                </c:pt>
                <c:pt idx="220">
                  <c:v>260.200000662999</c:v>
                </c:pt>
                <c:pt idx="221">
                  <c:v>174.279993144</c:v>
                </c:pt>
                <c:pt idx="222">
                  <c:v>201.969993203</c:v>
                </c:pt>
                <c:pt idx="223">
                  <c:v>241.90248957099999</c:v>
                </c:pt>
                <c:pt idx="224">
                  <c:v>204.434992311</c:v>
                </c:pt>
                <c:pt idx="225">
                  <c:v>186.982493992</c:v>
                </c:pt>
                <c:pt idx="226">
                  <c:v>309.569989867</c:v>
                </c:pt>
                <c:pt idx="227">
                  <c:v>290.38749330000002</c:v>
                </c:pt>
                <c:pt idx="228">
                  <c:v>303.31749617000003</c:v>
                </c:pt>
                <c:pt idx="229">
                  <c:v>128.43749880199999</c:v>
                </c:pt>
                <c:pt idx="230">
                  <c:v>466.74249302999999</c:v>
                </c:pt>
                <c:pt idx="231">
                  <c:v>177.31000331499999</c:v>
                </c:pt>
                <c:pt idx="232">
                  <c:v>152.89499555399999</c:v>
                </c:pt>
                <c:pt idx="233">
                  <c:v>153.37749622499999</c:v>
                </c:pt>
                <c:pt idx="234">
                  <c:v>233.15249084999999</c:v>
                </c:pt>
                <c:pt idx="235">
                  <c:v>236.277487587</c:v>
                </c:pt>
                <c:pt idx="236">
                  <c:v>109.619999338</c:v>
                </c:pt>
                <c:pt idx="237">
                  <c:v>229.11749455200001</c:v>
                </c:pt>
                <c:pt idx="238">
                  <c:v>199.88499658800001</c:v>
                </c:pt>
                <c:pt idx="239">
                  <c:v>229.09999365600001</c:v>
                </c:pt>
                <c:pt idx="240">
                  <c:v>143.26999401</c:v>
                </c:pt>
                <c:pt idx="241">
                  <c:v>282.344974638</c:v>
                </c:pt>
                <c:pt idx="242">
                  <c:v>282.12500192300001</c:v>
                </c:pt>
                <c:pt idx="243">
                  <c:v>150.60250427099999</c:v>
                </c:pt>
                <c:pt idx="244">
                  <c:v>312.43498801999999</c:v>
                </c:pt>
                <c:pt idx="245">
                  <c:v>257.68999955999999</c:v>
                </c:pt>
                <c:pt idx="246">
                  <c:v>352.04999094999999</c:v>
                </c:pt>
                <c:pt idx="247">
                  <c:v>319.34248764699998</c:v>
                </c:pt>
                <c:pt idx="248">
                  <c:v>390.102473761</c:v>
                </c:pt>
                <c:pt idx="249">
                  <c:v>253.07747093199899</c:v>
                </c:pt>
                <c:pt idx="250">
                  <c:v>190.27249577000001</c:v>
                </c:pt>
                <c:pt idx="251">
                  <c:v>112.91499476</c:v>
                </c:pt>
                <c:pt idx="252">
                  <c:v>389.54749347699999</c:v>
                </c:pt>
                <c:pt idx="253">
                  <c:v>77.862500999000005</c:v>
                </c:pt>
                <c:pt idx="254">
                  <c:v>386.937474458</c:v>
                </c:pt>
                <c:pt idx="255">
                  <c:v>110.739995906</c:v>
                </c:pt>
                <c:pt idx="256">
                  <c:v>77.189997136000002</c:v>
                </c:pt>
                <c:pt idx="257">
                  <c:v>290.354986172</c:v>
                </c:pt>
                <c:pt idx="258">
                  <c:v>200.43749340400001</c:v>
                </c:pt>
                <c:pt idx="259">
                  <c:v>327.88249800599999</c:v>
                </c:pt>
                <c:pt idx="260">
                  <c:v>376.072488964</c:v>
                </c:pt>
                <c:pt idx="261">
                  <c:v>122.634997746</c:v>
                </c:pt>
                <c:pt idx="262">
                  <c:v>297.882497333</c:v>
                </c:pt>
                <c:pt idx="263">
                  <c:v>461.73248449200003</c:v>
                </c:pt>
                <c:pt idx="264">
                  <c:v>180.57249177899999</c:v>
                </c:pt>
                <c:pt idx="265">
                  <c:v>75.679998845999904</c:v>
                </c:pt>
                <c:pt idx="266">
                  <c:v>47.747496398999999</c:v>
                </c:pt>
                <c:pt idx="267">
                  <c:v>100.58499953</c:v>
                </c:pt>
                <c:pt idx="268">
                  <c:v>323.54998808900001</c:v>
                </c:pt>
                <c:pt idx="269">
                  <c:v>182.91749630000001</c:v>
                </c:pt>
                <c:pt idx="270">
                  <c:v>144.692499204</c:v>
                </c:pt>
                <c:pt idx="271">
                  <c:v>245.78249593800001</c:v>
                </c:pt>
                <c:pt idx="272">
                  <c:v>263.40249293400001</c:v>
                </c:pt>
                <c:pt idx="273">
                  <c:v>244.377502838</c:v>
                </c:pt>
                <c:pt idx="274">
                  <c:v>420.91750530600001</c:v>
                </c:pt>
                <c:pt idx="275">
                  <c:v>383.59998974199999</c:v>
                </c:pt>
                <c:pt idx="276">
                  <c:v>174.212502685</c:v>
                </c:pt>
                <c:pt idx="277">
                  <c:v>197.75998535700001</c:v>
                </c:pt>
                <c:pt idx="278">
                  <c:v>284.75249562800002</c:v>
                </c:pt>
                <c:pt idx="279">
                  <c:v>132.74749606899999</c:v>
                </c:pt>
                <c:pt idx="280">
                  <c:v>560.974974094</c:v>
                </c:pt>
                <c:pt idx="281">
                  <c:v>159.1224938</c:v>
                </c:pt>
                <c:pt idx="282">
                  <c:v>307.71747242999999</c:v>
                </c:pt>
                <c:pt idx="283">
                  <c:v>187.15249441200001</c:v>
                </c:pt>
                <c:pt idx="284">
                  <c:v>314.00999037499997</c:v>
                </c:pt>
                <c:pt idx="285">
                  <c:v>359.03250208100002</c:v>
                </c:pt>
                <c:pt idx="286">
                  <c:v>235.64249662899999</c:v>
                </c:pt>
                <c:pt idx="287">
                  <c:v>348.32999900200002</c:v>
                </c:pt>
                <c:pt idx="288">
                  <c:v>64.684999759999997</c:v>
                </c:pt>
                <c:pt idx="289">
                  <c:v>60.819998794</c:v>
                </c:pt>
                <c:pt idx="290">
                  <c:v>300.500004574</c:v>
                </c:pt>
                <c:pt idx="291">
                  <c:v>354.21249498200001</c:v>
                </c:pt>
                <c:pt idx="292">
                  <c:v>324.51247610000001</c:v>
                </c:pt>
                <c:pt idx="293">
                  <c:v>232.304997528</c:v>
                </c:pt>
                <c:pt idx="294">
                  <c:v>351.392492291</c:v>
                </c:pt>
                <c:pt idx="295">
                  <c:v>243.69498885499999</c:v>
                </c:pt>
                <c:pt idx="296">
                  <c:v>349.97998188700001</c:v>
                </c:pt>
                <c:pt idx="297">
                  <c:v>443.14998844799999</c:v>
                </c:pt>
                <c:pt idx="298">
                  <c:v>217.757493297</c:v>
                </c:pt>
                <c:pt idx="299">
                  <c:v>239.62249131499999</c:v>
                </c:pt>
                <c:pt idx="300">
                  <c:v>194.56248649299999</c:v>
                </c:pt>
                <c:pt idx="301">
                  <c:v>342.174983559</c:v>
                </c:pt>
                <c:pt idx="302">
                  <c:v>113.47749968399999</c:v>
                </c:pt>
                <c:pt idx="303">
                  <c:v>286.11998933000001</c:v>
                </c:pt>
                <c:pt idx="304">
                  <c:v>538.19748200699996</c:v>
                </c:pt>
                <c:pt idx="305">
                  <c:v>362.05498322099999</c:v>
                </c:pt>
                <c:pt idx="306">
                  <c:v>440.34749175100001</c:v>
                </c:pt>
                <c:pt idx="307">
                  <c:v>429.57250954300002</c:v>
                </c:pt>
                <c:pt idx="308">
                  <c:v>345.00248882099999</c:v>
                </c:pt>
                <c:pt idx="309">
                  <c:v>337.314991115</c:v>
                </c:pt>
                <c:pt idx="310">
                  <c:v>229.662503278</c:v>
                </c:pt>
                <c:pt idx="311">
                  <c:v>223.652507673</c:v>
                </c:pt>
                <c:pt idx="312">
                  <c:v>124.977494824</c:v>
                </c:pt>
                <c:pt idx="313">
                  <c:v>201.23999484800001</c:v>
                </c:pt>
                <c:pt idx="314">
                  <c:v>37.345000225</c:v>
                </c:pt>
                <c:pt idx="315">
                  <c:v>299.65000243200001</c:v>
                </c:pt>
                <c:pt idx="316">
                  <c:v>330.07499288100001</c:v>
                </c:pt>
                <c:pt idx="317">
                  <c:v>382.602493635999</c:v>
                </c:pt>
                <c:pt idx="318">
                  <c:v>247.739995803</c:v>
                </c:pt>
                <c:pt idx="319">
                  <c:v>239.840000331</c:v>
                </c:pt>
                <c:pt idx="320">
                  <c:v>362.43751101700002</c:v>
                </c:pt>
                <c:pt idx="321">
                  <c:v>153.47499808500001</c:v>
                </c:pt>
                <c:pt idx="322">
                  <c:v>247.86249591500001</c:v>
                </c:pt>
                <c:pt idx="323">
                  <c:v>333.07499283599998</c:v>
                </c:pt>
                <c:pt idx="324">
                  <c:v>69.889995881999994</c:v>
                </c:pt>
                <c:pt idx="325">
                  <c:v>241.71749181199999</c:v>
                </c:pt>
                <c:pt idx="326">
                  <c:v>129.39499455499899</c:v>
                </c:pt>
                <c:pt idx="327">
                  <c:v>218.30498537899999</c:v>
                </c:pt>
                <c:pt idx="328">
                  <c:v>155.709994967</c:v>
                </c:pt>
                <c:pt idx="329">
                  <c:v>250.58250079799899</c:v>
                </c:pt>
                <c:pt idx="330">
                  <c:v>297.91499811699998</c:v>
                </c:pt>
                <c:pt idx="331">
                  <c:v>383.739996883</c:v>
                </c:pt>
                <c:pt idx="332">
                  <c:v>324.02248747499999</c:v>
                </c:pt>
              </c:numCache>
            </c:numRef>
          </c:val>
          <c:extLst>
            <c:ext xmlns:c16="http://schemas.microsoft.com/office/drawing/2014/chart" uri="{C3380CC4-5D6E-409C-BE32-E72D297353CC}">
              <c16:uniqueId val="{00000000-EEF8-4C38-92CC-905870B0B22A}"/>
            </c:ext>
          </c:extLst>
        </c:ser>
        <c:dLbls>
          <c:showLegendKey val="0"/>
          <c:showVal val="0"/>
          <c:showCatName val="0"/>
          <c:showSerName val="0"/>
          <c:showPercent val="0"/>
          <c:showBubbleSize val="0"/>
        </c:dLbls>
        <c:gapWidth val="150"/>
        <c:axId val="1672825040"/>
        <c:axId val="1672797200"/>
      </c:barChart>
      <c:catAx>
        <c:axId val="1672825040"/>
        <c:scaling>
          <c:orientation val="minMax"/>
        </c:scaling>
        <c:delete val="0"/>
        <c:axPos val="b"/>
        <c:title>
          <c:tx>
            <c:rich>
              <a:bodyPr rot="0" spcFirstLastPara="1" vertOverflow="ellipsis" vert="horz" wrap="square" anchor="ctr" anchorCtr="1"/>
              <a:lstStyle/>
              <a:p>
                <a:pPr>
                  <a:defRPr sz="1200" b="0" i="0" u="none" strike="noStrike" kern="1200" baseline="0">
                    <a:solidFill>
                      <a:schemeClr val="tx1">
                        <a:lumMod val="65000"/>
                        <a:lumOff val="35000"/>
                      </a:schemeClr>
                    </a:solidFill>
                    <a:latin typeface="Univers 57 Condensed" pitchFamily="50" charset="0"/>
                    <a:ea typeface="+mn-ea"/>
                    <a:cs typeface="+mn-cs"/>
                  </a:defRPr>
                </a:pPr>
                <a:r>
                  <a:rPr lang="en-US" sz="1200">
                    <a:latin typeface="Univers 57 Condensed" pitchFamily="50" charset="0"/>
                  </a:rPr>
                  <a:t>year-month</a:t>
                </a:r>
              </a:p>
            </c:rich>
          </c:tx>
          <c:layout>
            <c:manualLayout>
              <c:xMode val="edge"/>
              <c:yMode val="edge"/>
              <c:x val="0.48491082845413547"/>
              <c:y val="0.90101709586669554"/>
            </c:manualLayout>
          </c:layout>
          <c:overlay val="0"/>
          <c:spPr>
            <a:noFill/>
            <a:ln>
              <a:noFill/>
            </a:ln>
            <a:effectLst/>
          </c:spPr>
          <c:txPr>
            <a:bodyPr rot="0" spcFirstLastPara="1" vertOverflow="ellipsis" vert="horz" wrap="square" anchor="ctr" anchorCtr="1"/>
            <a:lstStyle/>
            <a:p>
              <a:pPr>
                <a:defRPr sz="1200" b="0" i="0" u="none" strike="noStrike" kern="1200" baseline="0">
                  <a:solidFill>
                    <a:schemeClr val="tx1">
                      <a:lumMod val="65000"/>
                      <a:lumOff val="35000"/>
                    </a:schemeClr>
                  </a:solidFill>
                  <a:latin typeface="Univers 57 Condensed" pitchFamily="50" charset="0"/>
                  <a:ea typeface="+mn-ea"/>
                  <a:cs typeface="+mn-cs"/>
                </a:defRPr>
              </a:pPr>
              <a:endParaRPr lang="en-US"/>
            </a:p>
          </c:txPr>
        </c:title>
        <c:numFmt formatCode="General" sourceLinked="1"/>
        <c:majorTickMark val="out"/>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200" b="0" i="0" u="none" strike="noStrike" kern="1200" baseline="0">
                <a:solidFill>
                  <a:schemeClr val="tx1">
                    <a:lumMod val="65000"/>
                    <a:lumOff val="35000"/>
                  </a:schemeClr>
                </a:solidFill>
                <a:latin typeface="Univers 57 Condensed" pitchFamily="50" charset="0"/>
                <a:ea typeface="+mn-ea"/>
                <a:cs typeface="+mn-cs"/>
              </a:defRPr>
            </a:pPr>
            <a:endParaRPr lang="en-US"/>
          </a:p>
        </c:txPr>
        <c:crossAx val="1672797200"/>
        <c:crosses val="autoZero"/>
        <c:auto val="1"/>
        <c:lblAlgn val="ctr"/>
        <c:lblOffset val="100"/>
        <c:noMultiLvlLbl val="0"/>
      </c:catAx>
      <c:valAx>
        <c:axId val="1672797200"/>
        <c:scaling>
          <c:orientation val="minMax"/>
        </c:scaling>
        <c:delete val="0"/>
        <c:axPos val="l"/>
        <c:majorGridlines>
          <c:spPr>
            <a:ln w="9525" cap="flat" cmpd="sng" algn="ctr">
              <a:solidFill>
                <a:schemeClr val="bg1">
                  <a:lumMod val="75000"/>
                </a:schemeClr>
              </a:solidFill>
              <a:round/>
            </a:ln>
            <a:effectLst/>
          </c:spPr>
        </c:majorGridlines>
        <c:title>
          <c:tx>
            <c:rich>
              <a:bodyPr rot="-5400000" spcFirstLastPara="1" vertOverflow="ellipsis" vert="horz" wrap="square" anchor="ctr" anchorCtr="1"/>
              <a:lstStyle/>
              <a:p>
                <a:pPr>
                  <a:defRPr sz="1200" b="0" i="0" u="none" strike="noStrike" kern="1200" baseline="0">
                    <a:solidFill>
                      <a:schemeClr val="tx1">
                        <a:lumMod val="65000"/>
                        <a:lumOff val="35000"/>
                      </a:schemeClr>
                    </a:solidFill>
                    <a:latin typeface="Univers 57 Condensed" pitchFamily="50" charset="0"/>
                    <a:ea typeface="+mn-ea"/>
                    <a:cs typeface="+mn-cs"/>
                  </a:defRPr>
                </a:pPr>
                <a:r>
                  <a:rPr lang="en-US" sz="1200">
                    <a:latin typeface="Univers 57 Condensed" pitchFamily="50" charset="0"/>
                  </a:rPr>
                  <a:t>P (mm)</a:t>
                </a:r>
              </a:p>
            </c:rich>
          </c:tx>
          <c:overlay val="0"/>
          <c:spPr>
            <a:noFill/>
            <a:ln>
              <a:noFill/>
            </a:ln>
            <a:effectLst/>
          </c:spPr>
          <c:txPr>
            <a:bodyPr rot="-5400000" spcFirstLastPara="1" vertOverflow="ellipsis" vert="horz" wrap="square" anchor="ctr" anchorCtr="1"/>
            <a:lstStyle/>
            <a:p>
              <a:pPr>
                <a:defRPr sz="1200" b="0" i="0" u="none" strike="noStrike" kern="1200" baseline="0">
                  <a:solidFill>
                    <a:schemeClr val="tx1">
                      <a:lumMod val="65000"/>
                      <a:lumOff val="35000"/>
                    </a:schemeClr>
                  </a:solidFill>
                  <a:latin typeface="Univers 57 Condensed" pitchFamily="50" charset="0"/>
                  <a:ea typeface="+mn-ea"/>
                  <a:cs typeface="+mn-cs"/>
                </a:defRPr>
              </a:pPr>
              <a:endParaRPr lang="en-US"/>
            </a:p>
          </c:txPr>
        </c:title>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1200" b="0" i="0" u="none" strike="noStrike" kern="1200" baseline="0">
                <a:solidFill>
                  <a:schemeClr val="tx1">
                    <a:lumMod val="65000"/>
                    <a:lumOff val="35000"/>
                  </a:schemeClr>
                </a:solidFill>
                <a:latin typeface="Univers 57 Condensed" pitchFamily="50" charset="0"/>
                <a:ea typeface="+mn-ea"/>
                <a:cs typeface="+mn-cs"/>
              </a:defRPr>
            </a:pPr>
            <a:endParaRPr lang="en-US"/>
          </a:p>
        </c:txPr>
        <c:crossAx val="1672825040"/>
        <c:crosses val="autoZero"/>
        <c:crossBetween val="between"/>
      </c:valAx>
      <c:spPr>
        <a:noFill/>
        <a:ln>
          <a:solidFill>
            <a:schemeClr val="bg1">
              <a:lumMod val="75000"/>
            </a:schemeClr>
          </a:solid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a:pPr>
      <a:endParaRPr lang="en-US"/>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1820659655305324"/>
          <c:y val="0.12770005595970901"/>
          <c:w val="0.85147763306633151"/>
          <c:h val="0.62024728022595388"/>
        </c:manualLayout>
      </c:layout>
      <c:barChart>
        <c:barDir val="col"/>
        <c:grouping val="clustered"/>
        <c:varyColors val="0"/>
        <c:ser>
          <c:idx val="0"/>
          <c:order val="0"/>
          <c:spPr>
            <a:solidFill>
              <a:schemeClr val="accent1">
                <a:lumMod val="60000"/>
                <a:lumOff val="40000"/>
              </a:schemeClr>
            </a:solidFill>
            <a:ln>
              <a:solidFill>
                <a:schemeClr val="bg1">
                  <a:lumMod val="95000"/>
                </a:schemeClr>
              </a:solidFill>
            </a:ln>
            <a:effectLst/>
          </c:spPr>
          <c:invertIfNegative val="0"/>
          <c:dLbls>
            <c:delete val="1"/>
          </c:dLbls>
          <c:cat>
            <c:numRef>
              <c:f>Kosrae!$L$3:$L$29</c:f>
              <c:numCache>
                <c:formatCode>General</c:formatCode>
                <c:ptCount val="27"/>
                <c:pt idx="0">
                  <c:v>1998</c:v>
                </c:pt>
                <c:pt idx="1">
                  <c:v>1999</c:v>
                </c:pt>
                <c:pt idx="2">
                  <c:v>2000</c:v>
                </c:pt>
                <c:pt idx="3">
                  <c:v>2001</c:v>
                </c:pt>
                <c:pt idx="4">
                  <c:v>2002</c:v>
                </c:pt>
                <c:pt idx="5">
                  <c:v>2003</c:v>
                </c:pt>
                <c:pt idx="6">
                  <c:v>2004</c:v>
                </c:pt>
                <c:pt idx="7">
                  <c:v>2005</c:v>
                </c:pt>
                <c:pt idx="8">
                  <c:v>2006</c:v>
                </c:pt>
                <c:pt idx="9">
                  <c:v>2007</c:v>
                </c:pt>
                <c:pt idx="10">
                  <c:v>2008</c:v>
                </c:pt>
                <c:pt idx="11">
                  <c:v>2009</c:v>
                </c:pt>
                <c:pt idx="12">
                  <c:v>2010</c:v>
                </c:pt>
                <c:pt idx="13">
                  <c:v>2011</c:v>
                </c:pt>
                <c:pt idx="14">
                  <c:v>2012</c:v>
                </c:pt>
                <c:pt idx="15">
                  <c:v>2013</c:v>
                </c:pt>
                <c:pt idx="16">
                  <c:v>2014</c:v>
                </c:pt>
                <c:pt idx="17">
                  <c:v>2015</c:v>
                </c:pt>
                <c:pt idx="18">
                  <c:v>2016</c:v>
                </c:pt>
                <c:pt idx="19">
                  <c:v>2017</c:v>
                </c:pt>
                <c:pt idx="20">
                  <c:v>2018</c:v>
                </c:pt>
                <c:pt idx="21">
                  <c:v>2019</c:v>
                </c:pt>
                <c:pt idx="22">
                  <c:v>2020</c:v>
                </c:pt>
                <c:pt idx="23">
                  <c:v>2021</c:v>
                </c:pt>
                <c:pt idx="24">
                  <c:v>2022</c:v>
                </c:pt>
                <c:pt idx="25">
                  <c:v>2023</c:v>
                </c:pt>
                <c:pt idx="26">
                  <c:v>2024</c:v>
                </c:pt>
              </c:numCache>
            </c:numRef>
          </c:cat>
          <c:val>
            <c:numRef>
              <c:f>Kosrae!$M$3:$M$29</c:f>
              <c:numCache>
                <c:formatCode>0.00</c:formatCode>
                <c:ptCount val="27"/>
                <c:pt idx="0">
                  <c:v>777.27747048000003</c:v>
                </c:pt>
                <c:pt idx="1">
                  <c:v>1240.5483293740001</c:v>
                </c:pt>
                <c:pt idx="2">
                  <c:v>4371.9965539779996</c:v>
                </c:pt>
                <c:pt idx="3">
                  <c:v>4454.1232427189998</c:v>
                </c:pt>
                <c:pt idx="4">
                  <c:v>4137.3198891000002</c:v>
                </c:pt>
                <c:pt idx="5">
                  <c:v>3652.7940740149902</c:v>
                </c:pt>
                <c:pt idx="6">
                  <c:v>4442.8757477190002</c:v>
                </c:pt>
                <c:pt idx="7">
                  <c:v>4454.553239549</c:v>
                </c:pt>
                <c:pt idx="8">
                  <c:v>4178.2907548330004</c:v>
                </c:pt>
                <c:pt idx="9">
                  <c:v>4067.2323988620001</c:v>
                </c:pt>
                <c:pt idx="10">
                  <c:v>4800.4540482470002</c:v>
                </c:pt>
                <c:pt idx="11">
                  <c:v>4012.5341010950001</c:v>
                </c:pt>
                <c:pt idx="12">
                  <c:v>3428.456636676</c:v>
                </c:pt>
                <c:pt idx="13">
                  <c:v>3993.9740943669999</c:v>
                </c:pt>
                <c:pt idx="14">
                  <c:v>4098.9390460300001</c:v>
                </c:pt>
                <c:pt idx="15">
                  <c:v>4065.9957288099999</c:v>
                </c:pt>
                <c:pt idx="16">
                  <c:v>4103.4390602370004</c:v>
                </c:pt>
                <c:pt idx="17">
                  <c:v>4392.8582343529997</c:v>
                </c:pt>
                <c:pt idx="18">
                  <c:v>3258.9507550940002</c:v>
                </c:pt>
                <c:pt idx="19">
                  <c:v>4565.114050997</c:v>
                </c:pt>
                <c:pt idx="20">
                  <c:v>3963.2824193679999</c:v>
                </c:pt>
                <c:pt idx="21">
                  <c:v>4554.3523914400002</c:v>
                </c:pt>
                <c:pt idx="22">
                  <c:v>5061.2848855279999</c:v>
                </c:pt>
                <c:pt idx="23">
                  <c:v>5683.021538729</c:v>
                </c:pt>
                <c:pt idx="24">
                  <c:v>5341.2823762999997</c:v>
                </c:pt>
                <c:pt idx="25">
                  <c:v>4767.6890334589998</c:v>
                </c:pt>
                <c:pt idx="26">
                  <c:v>4441.6490478440001</c:v>
                </c:pt>
              </c:numCache>
            </c:numRef>
          </c:val>
          <c:extLst>
            <c:ext xmlns:c16="http://schemas.microsoft.com/office/drawing/2014/chart" uri="{C3380CC4-5D6E-409C-BE32-E72D297353CC}">
              <c16:uniqueId val="{00000000-C54E-4C7A-A863-E27D1B963BB4}"/>
            </c:ext>
          </c:extLst>
        </c:ser>
        <c:dLbls>
          <c:dLblPos val="inEnd"/>
          <c:showLegendKey val="0"/>
          <c:showVal val="1"/>
          <c:showCatName val="0"/>
          <c:showSerName val="0"/>
          <c:showPercent val="0"/>
          <c:showBubbleSize val="0"/>
        </c:dLbls>
        <c:gapWidth val="0"/>
        <c:overlap val="-27"/>
        <c:axId val="725900591"/>
        <c:axId val="725898671"/>
      </c:barChart>
      <c:catAx>
        <c:axId val="725900591"/>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sz="1200">
                    <a:latin typeface="Univers 57 Condensed" pitchFamily="50" charset="0"/>
                  </a:rPr>
                  <a:t>year</a:t>
                </a:r>
                <a:endParaRPr lang="en-US">
                  <a:latin typeface="Univers 57 Condensed" pitchFamily="50" charset="0"/>
                </a:endParaRP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100" b="0" i="0" u="none" strike="noStrike" kern="1200" baseline="0">
                <a:solidFill>
                  <a:schemeClr val="tx1">
                    <a:lumMod val="65000"/>
                    <a:lumOff val="35000"/>
                  </a:schemeClr>
                </a:solidFill>
                <a:latin typeface="Univers 57 Condensed" pitchFamily="50" charset="0"/>
                <a:ea typeface="+mn-ea"/>
                <a:cs typeface="+mn-cs"/>
              </a:defRPr>
            </a:pPr>
            <a:endParaRPr lang="en-US"/>
          </a:p>
        </c:txPr>
        <c:crossAx val="725898671"/>
        <c:crosses val="autoZero"/>
        <c:auto val="1"/>
        <c:lblAlgn val="ctr"/>
        <c:lblOffset val="100"/>
        <c:noMultiLvlLbl val="0"/>
      </c:catAx>
      <c:valAx>
        <c:axId val="725898671"/>
        <c:scaling>
          <c:orientation val="minMax"/>
          <c:max val="600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200" b="0" i="0" u="none" strike="noStrike" kern="1200" baseline="0">
                    <a:solidFill>
                      <a:schemeClr val="tx1">
                        <a:lumMod val="65000"/>
                        <a:lumOff val="35000"/>
                      </a:schemeClr>
                    </a:solidFill>
                    <a:latin typeface="Univers 57 Condensed" pitchFamily="50" charset="0"/>
                    <a:ea typeface="+mn-ea"/>
                    <a:cs typeface="+mn-cs"/>
                  </a:defRPr>
                </a:pPr>
                <a:r>
                  <a:rPr lang="en-US" sz="1200">
                    <a:latin typeface="Univers 57 Condensed" pitchFamily="50" charset="0"/>
                  </a:rPr>
                  <a:t>Precipitation (mm)</a:t>
                </a:r>
              </a:p>
            </c:rich>
          </c:tx>
          <c:overlay val="0"/>
          <c:spPr>
            <a:noFill/>
            <a:ln>
              <a:noFill/>
            </a:ln>
            <a:effectLst/>
          </c:spPr>
          <c:txPr>
            <a:bodyPr rot="-5400000" spcFirstLastPara="1" vertOverflow="ellipsis" vert="horz" wrap="square" anchor="ctr" anchorCtr="1"/>
            <a:lstStyle/>
            <a:p>
              <a:pPr>
                <a:defRPr sz="1200" b="0" i="0" u="none" strike="noStrike" kern="1200" baseline="0">
                  <a:solidFill>
                    <a:schemeClr val="tx1">
                      <a:lumMod val="65000"/>
                      <a:lumOff val="35000"/>
                    </a:schemeClr>
                  </a:solidFill>
                  <a:latin typeface="Univers 57 Condensed" pitchFamily="50" charset="0"/>
                  <a:ea typeface="+mn-ea"/>
                  <a:cs typeface="+mn-cs"/>
                </a:defRPr>
              </a:pPr>
              <a:endParaRPr lang="en-US"/>
            </a:p>
          </c:txPr>
        </c:title>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1200" b="0" i="0" u="none" strike="noStrike" kern="1200" baseline="0">
                <a:solidFill>
                  <a:schemeClr val="tx1">
                    <a:lumMod val="65000"/>
                    <a:lumOff val="35000"/>
                  </a:schemeClr>
                </a:solidFill>
                <a:latin typeface="Univers 57 Condensed" pitchFamily="50" charset="0"/>
                <a:ea typeface="+mn-ea"/>
                <a:cs typeface="+mn-cs"/>
              </a:defRPr>
            </a:pPr>
            <a:endParaRPr lang="en-US"/>
          </a:p>
        </c:txPr>
        <c:crossAx val="725900591"/>
        <c:crosses val="autoZero"/>
        <c:crossBetween val="between"/>
        <c:majorUnit val="1000"/>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a:pPr>
      <a:endParaRPr lang="en-US"/>
    </a:p>
  </c:txPr>
  <c:externalData r:id="rId3">
    <c:autoUpdate val="0"/>
  </c:externalData>
</c:chartSpace>
</file>

<file path=word/charts/chart2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2743228022703612"/>
          <c:y val="8.2932288752098487E-2"/>
          <c:w val="0.85455188313536112"/>
          <c:h val="0.71858535022052705"/>
        </c:manualLayout>
      </c:layout>
      <c:barChart>
        <c:barDir val="col"/>
        <c:grouping val="clustered"/>
        <c:varyColors val="0"/>
        <c:ser>
          <c:idx val="0"/>
          <c:order val="0"/>
          <c:spPr>
            <a:solidFill>
              <a:schemeClr val="tx2">
                <a:lumMod val="40000"/>
                <a:lumOff val="60000"/>
              </a:schemeClr>
            </a:solidFill>
            <a:ln>
              <a:solidFill>
                <a:schemeClr val="bg1">
                  <a:lumMod val="95000"/>
                </a:schemeClr>
              </a:solidFill>
            </a:ln>
            <a:effectLst/>
          </c:spPr>
          <c:invertIfNegative val="0"/>
          <c:dLbls>
            <c:delete val="1"/>
          </c:dLbls>
          <c:cat>
            <c:numRef>
              <c:f>Weno!$L$3:$L$29</c:f>
              <c:numCache>
                <c:formatCode>General</c:formatCode>
                <c:ptCount val="27"/>
                <c:pt idx="0">
                  <c:v>1998</c:v>
                </c:pt>
                <c:pt idx="1">
                  <c:v>1999</c:v>
                </c:pt>
                <c:pt idx="2">
                  <c:v>2000</c:v>
                </c:pt>
                <c:pt idx="3">
                  <c:v>2001</c:v>
                </c:pt>
                <c:pt idx="4">
                  <c:v>2002</c:v>
                </c:pt>
                <c:pt idx="5">
                  <c:v>2003</c:v>
                </c:pt>
                <c:pt idx="6">
                  <c:v>2004</c:v>
                </c:pt>
                <c:pt idx="7">
                  <c:v>2005</c:v>
                </c:pt>
                <c:pt idx="8">
                  <c:v>2006</c:v>
                </c:pt>
                <c:pt idx="9">
                  <c:v>2007</c:v>
                </c:pt>
                <c:pt idx="10">
                  <c:v>2008</c:v>
                </c:pt>
                <c:pt idx="11">
                  <c:v>2009</c:v>
                </c:pt>
                <c:pt idx="12">
                  <c:v>2010</c:v>
                </c:pt>
                <c:pt idx="13">
                  <c:v>2011</c:v>
                </c:pt>
                <c:pt idx="14">
                  <c:v>2012</c:v>
                </c:pt>
                <c:pt idx="15">
                  <c:v>2013</c:v>
                </c:pt>
                <c:pt idx="16">
                  <c:v>2014</c:v>
                </c:pt>
                <c:pt idx="17">
                  <c:v>2015</c:v>
                </c:pt>
                <c:pt idx="18">
                  <c:v>2016</c:v>
                </c:pt>
                <c:pt idx="19">
                  <c:v>2017</c:v>
                </c:pt>
                <c:pt idx="20">
                  <c:v>2018</c:v>
                </c:pt>
                <c:pt idx="21">
                  <c:v>2019</c:v>
                </c:pt>
                <c:pt idx="22">
                  <c:v>2020</c:v>
                </c:pt>
                <c:pt idx="23">
                  <c:v>2021</c:v>
                </c:pt>
                <c:pt idx="24">
                  <c:v>2022</c:v>
                </c:pt>
                <c:pt idx="25">
                  <c:v>2023</c:v>
                </c:pt>
                <c:pt idx="26">
                  <c:v>2024</c:v>
                </c:pt>
              </c:numCache>
            </c:numRef>
          </c:cat>
          <c:val>
            <c:numRef>
              <c:f>Weno!$M$3:$M$29</c:f>
              <c:numCache>
                <c:formatCode>General</c:formatCode>
                <c:ptCount val="27"/>
                <c:pt idx="0">
                  <c:v>1898.0374944079999</c:v>
                </c:pt>
                <c:pt idx="1">
                  <c:v>3463.8148837600002</c:v>
                </c:pt>
                <c:pt idx="2">
                  <c:v>4175.9474039119996</c:v>
                </c:pt>
                <c:pt idx="3">
                  <c:v>2974.6824137449998</c:v>
                </c:pt>
                <c:pt idx="4">
                  <c:v>3380.3923766799999</c:v>
                </c:pt>
                <c:pt idx="5">
                  <c:v>3728.5649425870001</c:v>
                </c:pt>
                <c:pt idx="6">
                  <c:v>3530.9924181380002</c:v>
                </c:pt>
                <c:pt idx="7">
                  <c:v>3135.9324786809998</c:v>
                </c:pt>
                <c:pt idx="8">
                  <c:v>3164.507377377</c:v>
                </c:pt>
                <c:pt idx="9">
                  <c:v>2572.1074320349999</c:v>
                </c:pt>
                <c:pt idx="10">
                  <c:v>2707.0574522279999</c:v>
                </c:pt>
                <c:pt idx="11">
                  <c:v>3171.0974720549998</c:v>
                </c:pt>
                <c:pt idx="12">
                  <c:v>2953.1499806800002</c:v>
                </c:pt>
                <c:pt idx="13">
                  <c:v>3390.8699254749999</c:v>
                </c:pt>
                <c:pt idx="14">
                  <c:v>3331.7724292950002</c:v>
                </c:pt>
                <c:pt idx="15">
                  <c:v>2776.517417345</c:v>
                </c:pt>
                <c:pt idx="16">
                  <c:v>3176.984930696</c:v>
                </c:pt>
                <c:pt idx="17">
                  <c:v>2812.7299165039999</c:v>
                </c:pt>
                <c:pt idx="18">
                  <c:v>2300.87243468</c:v>
                </c:pt>
                <c:pt idx="19">
                  <c:v>2619.2324456669999</c:v>
                </c:pt>
                <c:pt idx="20">
                  <c:v>3046.227376242</c:v>
                </c:pt>
                <c:pt idx="21">
                  <c:v>3119.2749080929998</c:v>
                </c:pt>
                <c:pt idx="22">
                  <c:v>2613.8249569049999</c:v>
                </c:pt>
                <c:pt idx="23">
                  <c:v>3261.4549025619999</c:v>
                </c:pt>
                <c:pt idx="24">
                  <c:v>3182.6324078309999</c:v>
                </c:pt>
                <c:pt idx="25">
                  <c:v>3842.1399164750001</c:v>
                </c:pt>
                <c:pt idx="26">
                  <c:v>2960.3199728330001</c:v>
                </c:pt>
              </c:numCache>
            </c:numRef>
          </c:val>
          <c:extLst>
            <c:ext xmlns:c16="http://schemas.microsoft.com/office/drawing/2014/chart" uri="{C3380CC4-5D6E-409C-BE32-E72D297353CC}">
              <c16:uniqueId val="{00000000-7EC9-4F81-BEDB-AF47511E6C7A}"/>
            </c:ext>
          </c:extLst>
        </c:ser>
        <c:dLbls>
          <c:dLblPos val="inEnd"/>
          <c:showLegendKey val="0"/>
          <c:showVal val="1"/>
          <c:showCatName val="0"/>
          <c:showSerName val="0"/>
          <c:showPercent val="0"/>
          <c:showBubbleSize val="0"/>
        </c:dLbls>
        <c:gapWidth val="0"/>
        <c:overlap val="-27"/>
        <c:axId val="725900591"/>
        <c:axId val="725898671"/>
      </c:barChart>
      <c:catAx>
        <c:axId val="725900591"/>
        <c:scaling>
          <c:orientation val="minMax"/>
        </c:scaling>
        <c:delete val="0"/>
        <c:axPos val="b"/>
        <c:title>
          <c:tx>
            <c:rich>
              <a:bodyPr rot="0" spcFirstLastPara="1" vertOverflow="ellipsis" vert="horz" wrap="square" anchor="ctr" anchorCtr="1"/>
              <a:lstStyle/>
              <a:p>
                <a:pPr>
                  <a:defRPr sz="1200" b="0" i="0" u="none" strike="noStrike" kern="1200" baseline="0">
                    <a:solidFill>
                      <a:schemeClr val="tx1">
                        <a:lumMod val="65000"/>
                        <a:lumOff val="35000"/>
                      </a:schemeClr>
                    </a:solidFill>
                    <a:latin typeface="Univers 57 Condensed" pitchFamily="50" charset="0"/>
                    <a:ea typeface="+mn-ea"/>
                    <a:cs typeface="+mn-cs"/>
                  </a:defRPr>
                </a:pPr>
                <a:r>
                  <a:rPr lang="en-US" sz="1200">
                    <a:latin typeface="Univers 57 Condensed" pitchFamily="50" charset="0"/>
                  </a:rPr>
                  <a:t>year</a:t>
                </a:r>
              </a:p>
            </c:rich>
          </c:tx>
          <c:layout>
            <c:manualLayout>
              <c:xMode val="edge"/>
              <c:yMode val="edge"/>
              <c:x val="0.51102720037078253"/>
              <c:y val="0.90888532162171098"/>
            </c:manualLayout>
          </c:layout>
          <c:overlay val="0"/>
          <c:spPr>
            <a:noFill/>
            <a:ln>
              <a:noFill/>
            </a:ln>
            <a:effectLst/>
          </c:spPr>
          <c:txPr>
            <a:bodyPr rot="0" spcFirstLastPara="1" vertOverflow="ellipsis" vert="horz" wrap="square" anchor="ctr" anchorCtr="1"/>
            <a:lstStyle/>
            <a:p>
              <a:pPr>
                <a:defRPr sz="1200" b="0" i="0" u="none" strike="noStrike" kern="1200" baseline="0">
                  <a:solidFill>
                    <a:schemeClr val="tx1">
                      <a:lumMod val="65000"/>
                      <a:lumOff val="35000"/>
                    </a:schemeClr>
                  </a:solidFill>
                  <a:latin typeface="Univers 57 Condensed" pitchFamily="50" charset="0"/>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Univers 57 Condensed" pitchFamily="50" charset="0"/>
                <a:ea typeface="+mn-ea"/>
                <a:cs typeface="+mn-cs"/>
              </a:defRPr>
            </a:pPr>
            <a:endParaRPr lang="en-US"/>
          </a:p>
        </c:txPr>
        <c:crossAx val="725898671"/>
        <c:crosses val="autoZero"/>
        <c:auto val="1"/>
        <c:lblAlgn val="ctr"/>
        <c:lblOffset val="100"/>
        <c:noMultiLvlLbl val="0"/>
      </c:catAx>
      <c:valAx>
        <c:axId val="725898671"/>
        <c:scaling>
          <c:orientation val="minMax"/>
          <c:max val="500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200" b="0" i="0" u="none" strike="noStrike" kern="1200" baseline="0">
                    <a:solidFill>
                      <a:schemeClr val="tx1">
                        <a:lumMod val="65000"/>
                        <a:lumOff val="35000"/>
                      </a:schemeClr>
                    </a:solidFill>
                    <a:latin typeface="Univers 57 Condensed" pitchFamily="50" charset="0"/>
                    <a:ea typeface="+mn-ea"/>
                    <a:cs typeface="+mn-cs"/>
                  </a:defRPr>
                </a:pPr>
                <a:r>
                  <a:rPr lang="en-US" sz="1200">
                    <a:latin typeface="Univers 57 Condensed" pitchFamily="50" charset="0"/>
                  </a:rPr>
                  <a:t>P (mm)</a:t>
                </a:r>
              </a:p>
            </c:rich>
          </c:tx>
          <c:overlay val="0"/>
          <c:spPr>
            <a:noFill/>
            <a:ln>
              <a:noFill/>
            </a:ln>
            <a:effectLst/>
          </c:spPr>
          <c:txPr>
            <a:bodyPr rot="-5400000" spcFirstLastPara="1" vertOverflow="ellipsis" vert="horz" wrap="square" anchor="ctr" anchorCtr="1"/>
            <a:lstStyle/>
            <a:p>
              <a:pPr>
                <a:defRPr sz="1200" b="0" i="0" u="none" strike="noStrike" kern="1200" baseline="0">
                  <a:solidFill>
                    <a:schemeClr val="tx1">
                      <a:lumMod val="65000"/>
                      <a:lumOff val="35000"/>
                    </a:schemeClr>
                  </a:solidFill>
                  <a:latin typeface="Univers 57 Condensed" pitchFamily="50" charset="0"/>
                  <a:ea typeface="+mn-ea"/>
                  <a:cs typeface="+mn-cs"/>
                </a:defRPr>
              </a:pPr>
              <a:endParaRPr lang="en-US"/>
            </a:p>
          </c:txPr>
        </c:title>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1200" b="0" i="0" u="none" strike="noStrike" kern="1200" baseline="0">
                <a:solidFill>
                  <a:schemeClr val="tx1">
                    <a:lumMod val="65000"/>
                    <a:lumOff val="35000"/>
                  </a:schemeClr>
                </a:solidFill>
                <a:latin typeface="Univers 57 Condensed" pitchFamily="50" charset="0"/>
                <a:ea typeface="+mn-ea"/>
                <a:cs typeface="+mn-cs"/>
              </a:defRPr>
            </a:pPr>
            <a:endParaRPr lang="en-US"/>
          </a:p>
        </c:txPr>
        <c:crossAx val="725900591"/>
        <c:crosses val="autoZero"/>
        <c:crossBetween val="between"/>
        <c:majorUnit val="1000"/>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a:pPr>
      <a:endParaRPr lang="en-US"/>
    </a:p>
  </c:txPr>
  <c:externalData r:id="rId3">
    <c:autoUpdate val="0"/>
  </c:externalData>
</c:chartSpace>
</file>

<file path=word/charts/chart2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areaChart>
        <c:grouping val="standard"/>
        <c:varyColors val="0"/>
        <c:ser>
          <c:idx val="0"/>
          <c:order val="0"/>
          <c:tx>
            <c:strRef>
              <c:f>Weno!$I$1</c:f>
              <c:strCache>
                <c:ptCount val="1"/>
                <c:pt idx="0">
                  <c:v>IMERG</c:v>
                </c:pt>
              </c:strCache>
            </c:strRef>
          </c:tx>
          <c:spPr>
            <a:pattFill prst="ltDnDiag">
              <a:fgClr>
                <a:srgbClr val="002060"/>
              </a:fgClr>
              <a:bgClr>
                <a:schemeClr val="bg1"/>
              </a:bgClr>
            </a:pattFill>
            <a:ln>
              <a:noFill/>
            </a:ln>
            <a:effectLst/>
          </c:spPr>
          <c:val>
            <c:numRef>
              <c:f>Weno!$I$3:$I$14</c:f>
              <c:numCache>
                <c:formatCode>0.00</c:formatCode>
                <c:ptCount val="12"/>
                <c:pt idx="0">
                  <c:v>189.59089519035999</c:v>
                </c:pt>
                <c:pt idx="1">
                  <c:v>189.25479382843994</c:v>
                </c:pt>
                <c:pt idx="2">
                  <c:v>196.65684791325927</c:v>
                </c:pt>
                <c:pt idx="3">
                  <c:v>219.32129178103708</c:v>
                </c:pt>
                <c:pt idx="4">
                  <c:v>273.89878762829608</c:v>
                </c:pt>
                <c:pt idx="5">
                  <c:v>287.35008704199987</c:v>
                </c:pt>
                <c:pt idx="6">
                  <c:v>301.93823246618518</c:v>
                </c:pt>
                <c:pt idx="7">
                  <c:v>310.90703281974066</c:v>
                </c:pt>
                <c:pt idx="8">
                  <c:v>317.34045499503696</c:v>
                </c:pt>
                <c:pt idx="9">
                  <c:v>281.90777153585185</c:v>
                </c:pt>
                <c:pt idx="10">
                  <c:v>271.97814407381463</c:v>
                </c:pt>
                <c:pt idx="11">
                  <c:v>251.84601240148135</c:v>
                </c:pt>
              </c:numCache>
            </c:numRef>
          </c:val>
          <c:extLst>
            <c:ext xmlns:c16="http://schemas.microsoft.com/office/drawing/2014/chart" uri="{C3380CC4-5D6E-409C-BE32-E72D297353CC}">
              <c16:uniqueId val="{00000000-ED8E-4DCC-8F10-C753807C9910}"/>
            </c:ext>
          </c:extLst>
        </c:ser>
        <c:ser>
          <c:idx val="1"/>
          <c:order val="1"/>
          <c:tx>
            <c:strRef>
              <c:f>Weno!$J$1</c:f>
              <c:strCache>
                <c:ptCount val="1"/>
                <c:pt idx="0">
                  <c:v>SSEBop</c:v>
                </c:pt>
              </c:strCache>
            </c:strRef>
          </c:tx>
          <c:spPr>
            <a:solidFill>
              <a:schemeClr val="accent3">
                <a:lumMod val="75000"/>
              </a:schemeClr>
            </a:solidFill>
            <a:ln>
              <a:solidFill>
                <a:schemeClr val="accent3">
                  <a:lumMod val="75000"/>
                </a:schemeClr>
              </a:solidFill>
            </a:ln>
            <a:effectLst/>
          </c:spPr>
          <c:val>
            <c:numRef>
              <c:f>Weno!$J$3:$J$14</c:f>
              <c:numCache>
                <c:formatCode>0.00</c:formatCode>
                <c:ptCount val="12"/>
                <c:pt idx="0">
                  <c:v>110.32291666666667</c:v>
                </c:pt>
                <c:pt idx="1">
                  <c:v>106.53510378510376</c:v>
                </c:pt>
                <c:pt idx="2">
                  <c:v>115.10576923076923</c:v>
                </c:pt>
                <c:pt idx="3">
                  <c:v>105.94807692307693</c:v>
                </c:pt>
                <c:pt idx="4">
                  <c:v>105.12884615384615</c:v>
                </c:pt>
                <c:pt idx="5">
                  <c:v>105.35384615384615</c:v>
                </c:pt>
                <c:pt idx="6">
                  <c:v>102.76153846153845</c:v>
                </c:pt>
                <c:pt idx="7">
                  <c:v>105.8096153846154</c:v>
                </c:pt>
                <c:pt idx="8">
                  <c:v>104.45384615384614</c:v>
                </c:pt>
                <c:pt idx="9">
                  <c:v>109.30576923076924</c:v>
                </c:pt>
                <c:pt idx="10">
                  <c:v>96.888461538461542</c:v>
                </c:pt>
                <c:pt idx="11">
                  <c:v>102.62307692307694</c:v>
                </c:pt>
              </c:numCache>
            </c:numRef>
          </c:val>
          <c:extLst>
            <c:ext xmlns:c16="http://schemas.microsoft.com/office/drawing/2014/chart" uri="{C3380CC4-5D6E-409C-BE32-E72D297353CC}">
              <c16:uniqueId val="{00000001-ED8E-4DCC-8F10-C753807C9910}"/>
            </c:ext>
          </c:extLst>
        </c:ser>
        <c:dLbls>
          <c:showLegendKey val="0"/>
          <c:showVal val="0"/>
          <c:showCatName val="0"/>
          <c:showSerName val="0"/>
          <c:showPercent val="0"/>
          <c:showBubbleSize val="0"/>
        </c:dLbls>
        <c:axId val="750042767"/>
        <c:axId val="750044207"/>
      </c:areaChart>
      <c:catAx>
        <c:axId val="750042767"/>
        <c:scaling>
          <c:orientation val="minMax"/>
        </c:scaling>
        <c:delete val="0"/>
        <c:axPos val="b"/>
        <c:title>
          <c:tx>
            <c:rich>
              <a:bodyPr rot="0" spcFirstLastPara="1" vertOverflow="ellipsis" vert="horz" wrap="square" anchor="ctr" anchorCtr="1"/>
              <a:lstStyle/>
              <a:p>
                <a:pPr>
                  <a:defRPr sz="1200" b="0" i="0" u="none" strike="noStrike" kern="1200" baseline="0">
                    <a:solidFill>
                      <a:schemeClr val="tx1"/>
                    </a:solidFill>
                    <a:latin typeface="Univers 57 Condensed" pitchFamily="50" charset="0"/>
                    <a:ea typeface="+mn-ea"/>
                    <a:cs typeface="+mn-cs"/>
                  </a:defRPr>
                </a:pPr>
                <a:r>
                  <a:rPr lang="en-US" sz="1200">
                    <a:solidFill>
                      <a:schemeClr val="tx1"/>
                    </a:solidFill>
                    <a:latin typeface="Univers 57 Condensed" pitchFamily="50" charset="0"/>
                  </a:rPr>
                  <a:t>month</a:t>
                </a:r>
              </a:p>
            </c:rich>
          </c:tx>
          <c:overlay val="0"/>
          <c:spPr>
            <a:noFill/>
            <a:ln>
              <a:noFill/>
            </a:ln>
            <a:effectLst/>
          </c:spPr>
          <c:txPr>
            <a:bodyPr rot="0" spcFirstLastPara="1" vertOverflow="ellipsis" vert="horz" wrap="square" anchor="ctr" anchorCtr="1"/>
            <a:lstStyle/>
            <a:p>
              <a:pPr>
                <a:defRPr sz="1200" b="0" i="0" u="none" strike="noStrike" kern="1200" baseline="0">
                  <a:solidFill>
                    <a:schemeClr val="tx1"/>
                  </a:solidFill>
                  <a:latin typeface="Univers 57 Condensed" pitchFamily="50" charset="0"/>
                  <a:ea typeface="+mn-ea"/>
                  <a:cs typeface="+mn-cs"/>
                </a:defRPr>
              </a:pPr>
              <a:endParaRPr lang="en-US"/>
            </a:p>
          </c:txPr>
        </c:title>
        <c:majorTickMark val="out"/>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200" b="0" i="0" u="none" strike="noStrike" kern="1200" baseline="0">
                <a:solidFill>
                  <a:schemeClr val="tx1"/>
                </a:solidFill>
                <a:latin typeface="Univers 57 Condensed" pitchFamily="50" charset="0"/>
                <a:ea typeface="+mn-ea"/>
                <a:cs typeface="+mn-cs"/>
              </a:defRPr>
            </a:pPr>
            <a:endParaRPr lang="en-US"/>
          </a:p>
        </c:txPr>
        <c:crossAx val="750044207"/>
        <c:crosses val="autoZero"/>
        <c:auto val="1"/>
        <c:lblAlgn val="ctr"/>
        <c:lblOffset val="100"/>
        <c:noMultiLvlLbl val="0"/>
      </c:catAx>
      <c:valAx>
        <c:axId val="750044207"/>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200" b="0" i="0" u="none" strike="noStrike" kern="1200" baseline="0">
                    <a:solidFill>
                      <a:schemeClr val="tx1"/>
                    </a:solidFill>
                    <a:latin typeface="Univers 57 Condensed" pitchFamily="50" charset="0"/>
                    <a:ea typeface="+mn-ea"/>
                    <a:cs typeface="+mn-cs"/>
                  </a:defRPr>
                </a:pPr>
                <a:r>
                  <a:rPr lang="en-US" sz="1200">
                    <a:solidFill>
                      <a:schemeClr val="tx1"/>
                    </a:solidFill>
                    <a:latin typeface="Univers 57 Condensed" pitchFamily="50" charset="0"/>
                  </a:rPr>
                  <a:t>ETa (mm)                          P (mm)</a:t>
                </a:r>
              </a:p>
            </c:rich>
          </c:tx>
          <c:layout>
            <c:manualLayout>
              <c:xMode val="edge"/>
              <c:yMode val="edge"/>
              <c:x val="1.568443367655966E-2"/>
              <c:y val="0.15400320256204966"/>
            </c:manualLayout>
          </c:layout>
          <c:overlay val="0"/>
          <c:spPr>
            <a:noFill/>
            <a:ln>
              <a:noFill/>
            </a:ln>
            <a:effectLst/>
          </c:spPr>
          <c:txPr>
            <a:bodyPr rot="-5400000" spcFirstLastPara="1" vertOverflow="ellipsis" vert="horz" wrap="square" anchor="ctr" anchorCtr="1"/>
            <a:lstStyle/>
            <a:p>
              <a:pPr>
                <a:defRPr sz="1200" b="0" i="0" u="none" strike="noStrike" kern="1200" baseline="0">
                  <a:solidFill>
                    <a:schemeClr val="tx1"/>
                  </a:solidFill>
                  <a:latin typeface="Univers 57 Condensed" pitchFamily="50" charset="0"/>
                  <a:ea typeface="+mn-ea"/>
                  <a:cs typeface="+mn-cs"/>
                </a:defRPr>
              </a:pPr>
              <a:endParaRPr lang="en-US"/>
            </a:p>
          </c:txPr>
        </c:title>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1200" b="0" i="0" u="none" strike="noStrike" kern="1200" baseline="0">
                <a:solidFill>
                  <a:schemeClr val="tx1"/>
                </a:solidFill>
                <a:latin typeface="Univers 57 Condensed" pitchFamily="50" charset="0"/>
                <a:ea typeface="+mn-ea"/>
                <a:cs typeface="+mn-cs"/>
              </a:defRPr>
            </a:pPr>
            <a:endParaRPr lang="en-US"/>
          </a:p>
        </c:txPr>
        <c:crossAx val="750042767"/>
        <c:crosses val="autoZero"/>
        <c:crossBetween val="midCat"/>
      </c:valAx>
      <c:spPr>
        <a:noFill/>
        <a:ln>
          <a:solidFill>
            <a:schemeClr val="bg1">
              <a:lumMod val="75000"/>
            </a:schemeClr>
          </a:solid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a:pPr>
      <a:endParaRPr lang="en-US"/>
    </a:p>
  </c:txPr>
  <c:externalData r:id="rId3">
    <c:autoUpdate val="0"/>
  </c:externalData>
</c:chartSpace>
</file>

<file path=word/charts/chart2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spPr>
            <a:solidFill>
              <a:schemeClr val="accent3">
                <a:lumMod val="75000"/>
              </a:schemeClr>
            </a:solidFill>
            <a:ln w="9525" cap="flat" cmpd="sng" algn="ctr">
              <a:solidFill>
                <a:schemeClr val="bg1"/>
              </a:solidFill>
              <a:round/>
            </a:ln>
            <a:effectLst/>
          </c:spPr>
          <c:invertIfNegative val="0"/>
          <c:dLbls>
            <c:delete val="1"/>
          </c:dLbls>
          <c:cat>
            <c:numRef>
              <c:f>Weno!$L$18:$L$30</c:f>
              <c:numCache>
                <c:formatCode>General</c:formatCode>
                <c:ptCount val="13"/>
                <c:pt idx="0">
                  <c:v>2013</c:v>
                </c:pt>
                <c:pt idx="1">
                  <c:v>2014</c:v>
                </c:pt>
                <c:pt idx="2">
                  <c:v>2015</c:v>
                </c:pt>
                <c:pt idx="3">
                  <c:v>2016</c:v>
                </c:pt>
                <c:pt idx="4">
                  <c:v>2017</c:v>
                </c:pt>
                <c:pt idx="5">
                  <c:v>2018</c:v>
                </c:pt>
                <c:pt idx="6">
                  <c:v>2019</c:v>
                </c:pt>
                <c:pt idx="7">
                  <c:v>2020</c:v>
                </c:pt>
                <c:pt idx="8">
                  <c:v>2021</c:v>
                </c:pt>
                <c:pt idx="9">
                  <c:v>2022</c:v>
                </c:pt>
                <c:pt idx="10">
                  <c:v>2023</c:v>
                </c:pt>
                <c:pt idx="11">
                  <c:v>2024</c:v>
                </c:pt>
                <c:pt idx="12">
                  <c:v>2025</c:v>
                </c:pt>
              </c:numCache>
            </c:numRef>
          </c:cat>
          <c:val>
            <c:numRef>
              <c:f>Weno!$N$18:$N$30</c:f>
              <c:numCache>
                <c:formatCode>General</c:formatCode>
                <c:ptCount val="13"/>
                <c:pt idx="0">
                  <c:v>1264</c:v>
                </c:pt>
                <c:pt idx="1">
                  <c:v>1285</c:v>
                </c:pt>
                <c:pt idx="2">
                  <c:v>1245</c:v>
                </c:pt>
                <c:pt idx="3">
                  <c:v>1255</c:v>
                </c:pt>
                <c:pt idx="4">
                  <c:v>1274</c:v>
                </c:pt>
                <c:pt idx="5">
                  <c:v>1260</c:v>
                </c:pt>
                <c:pt idx="6">
                  <c:v>1274</c:v>
                </c:pt>
                <c:pt idx="7">
                  <c:v>1274</c:v>
                </c:pt>
                <c:pt idx="8">
                  <c:v>1271</c:v>
                </c:pt>
                <c:pt idx="9">
                  <c:v>1241</c:v>
                </c:pt>
                <c:pt idx="10">
                  <c:v>1262</c:v>
                </c:pt>
                <c:pt idx="11">
                  <c:v>1275</c:v>
                </c:pt>
                <c:pt idx="12">
                  <c:v>1302</c:v>
                </c:pt>
              </c:numCache>
            </c:numRef>
          </c:val>
          <c:extLst>
            <c:ext xmlns:c16="http://schemas.microsoft.com/office/drawing/2014/chart" uri="{C3380CC4-5D6E-409C-BE32-E72D297353CC}">
              <c16:uniqueId val="{00000000-20F9-4CD1-974C-8B7498756C86}"/>
            </c:ext>
          </c:extLst>
        </c:ser>
        <c:dLbls>
          <c:dLblPos val="inEnd"/>
          <c:showLegendKey val="0"/>
          <c:showVal val="1"/>
          <c:showCatName val="0"/>
          <c:showSerName val="0"/>
          <c:showPercent val="0"/>
          <c:showBubbleSize val="0"/>
        </c:dLbls>
        <c:gapWidth val="0"/>
        <c:axId val="2020192800"/>
        <c:axId val="2020199520"/>
      </c:barChart>
      <c:catAx>
        <c:axId val="2020192800"/>
        <c:scaling>
          <c:orientation val="minMax"/>
        </c:scaling>
        <c:delete val="0"/>
        <c:axPos val="b"/>
        <c:title>
          <c:tx>
            <c:rich>
              <a:bodyPr rot="0" spcFirstLastPara="1" vertOverflow="ellipsis" vert="horz" wrap="square" anchor="ctr" anchorCtr="1"/>
              <a:lstStyle/>
              <a:p>
                <a:pPr>
                  <a:defRPr sz="1200" b="1" i="0" u="none" strike="noStrike" kern="1200" baseline="0">
                    <a:solidFill>
                      <a:schemeClr val="dk1">
                        <a:lumMod val="75000"/>
                        <a:lumOff val="25000"/>
                      </a:schemeClr>
                    </a:solidFill>
                    <a:latin typeface="Univers 57 Condensed" pitchFamily="50" charset="0"/>
                    <a:ea typeface="+mn-ea"/>
                    <a:cs typeface="+mn-cs"/>
                  </a:defRPr>
                </a:pPr>
                <a:r>
                  <a:rPr lang="en-US" sz="1200">
                    <a:latin typeface="Univers 57 Condensed" pitchFamily="50" charset="0"/>
                  </a:rPr>
                  <a:t>year</a:t>
                </a:r>
              </a:p>
            </c:rich>
          </c:tx>
          <c:overlay val="0"/>
          <c:spPr>
            <a:noFill/>
            <a:ln>
              <a:noFill/>
            </a:ln>
            <a:effectLst/>
          </c:spPr>
          <c:txPr>
            <a:bodyPr rot="0" spcFirstLastPara="1" vertOverflow="ellipsis" vert="horz" wrap="square" anchor="ctr" anchorCtr="1"/>
            <a:lstStyle/>
            <a:p>
              <a:pPr>
                <a:defRPr sz="1200" b="1" i="0" u="none" strike="noStrike" kern="1200" baseline="0">
                  <a:solidFill>
                    <a:schemeClr val="dk1">
                      <a:lumMod val="75000"/>
                      <a:lumOff val="25000"/>
                    </a:schemeClr>
                  </a:solidFill>
                  <a:latin typeface="Univers 57 Condensed" pitchFamily="50" charset="0"/>
                  <a:ea typeface="+mn-ea"/>
                  <a:cs typeface="+mn-cs"/>
                </a:defRPr>
              </a:pPr>
              <a:endParaRPr lang="en-US"/>
            </a:p>
          </c:txPr>
        </c:title>
        <c:numFmt formatCode="General" sourceLinked="1"/>
        <c:majorTickMark val="none"/>
        <c:minorTickMark val="none"/>
        <c:tickLblPos val="nextTo"/>
        <c:spPr>
          <a:noFill/>
          <a:ln w="19050" cap="flat" cmpd="sng" algn="ctr">
            <a:solidFill>
              <a:schemeClr val="dk1">
                <a:lumMod val="75000"/>
                <a:lumOff val="25000"/>
              </a:schemeClr>
            </a:solidFill>
            <a:round/>
          </a:ln>
          <a:effectLst/>
        </c:spPr>
        <c:txPr>
          <a:bodyPr rot="-60000000" spcFirstLastPara="1" vertOverflow="ellipsis" vert="horz" wrap="square" anchor="ctr" anchorCtr="1"/>
          <a:lstStyle/>
          <a:p>
            <a:pPr>
              <a:defRPr sz="1200" b="0" i="0" u="none" strike="noStrike" kern="1200" cap="all" baseline="0">
                <a:solidFill>
                  <a:schemeClr val="tx1"/>
                </a:solidFill>
                <a:latin typeface="Univers 57 Condensed" pitchFamily="50" charset="0"/>
                <a:ea typeface="+mn-ea"/>
                <a:cs typeface="+mn-cs"/>
              </a:defRPr>
            </a:pPr>
            <a:endParaRPr lang="en-US"/>
          </a:p>
        </c:txPr>
        <c:crossAx val="2020199520"/>
        <c:crosses val="autoZero"/>
        <c:auto val="1"/>
        <c:lblAlgn val="ctr"/>
        <c:lblOffset val="100"/>
        <c:noMultiLvlLbl val="0"/>
      </c:catAx>
      <c:valAx>
        <c:axId val="2020199520"/>
        <c:scaling>
          <c:orientation val="minMax"/>
          <c:max val="1350"/>
          <c:min val="1000"/>
        </c:scaling>
        <c:delete val="0"/>
        <c:axPos val="l"/>
        <c:majorGridlines>
          <c:spPr>
            <a:ln w="9525" cap="flat" cmpd="sng" algn="ctr">
              <a:gradFill>
                <a:gsLst>
                  <a:gs pos="100000">
                    <a:schemeClr val="dk1">
                      <a:lumMod val="95000"/>
                      <a:lumOff val="5000"/>
                      <a:alpha val="42000"/>
                    </a:schemeClr>
                  </a:gs>
                  <a:gs pos="0">
                    <a:schemeClr val="lt1">
                      <a:lumMod val="75000"/>
                      <a:alpha val="36000"/>
                    </a:schemeClr>
                  </a:gs>
                </a:gsLst>
                <a:lin ang="5400000" scaled="0"/>
              </a:gradFill>
              <a:round/>
            </a:ln>
            <a:effectLst/>
          </c:spPr>
        </c:majorGridlines>
        <c:title>
          <c:tx>
            <c:rich>
              <a:bodyPr rot="-5400000" spcFirstLastPara="1" vertOverflow="ellipsis" vert="horz" wrap="square" anchor="ctr" anchorCtr="1"/>
              <a:lstStyle/>
              <a:p>
                <a:pPr>
                  <a:defRPr sz="1200" b="1" i="0" u="none" strike="noStrike" kern="1200" baseline="0">
                    <a:solidFill>
                      <a:schemeClr val="tx1"/>
                    </a:solidFill>
                    <a:latin typeface="Univers 57 Condensed" pitchFamily="50" charset="0"/>
                    <a:ea typeface="+mn-ea"/>
                    <a:cs typeface="+mn-cs"/>
                  </a:defRPr>
                </a:pPr>
                <a:r>
                  <a:rPr lang="en-US" sz="1200">
                    <a:solidFill>
                      <a:schemeClr val="tx1"/>
                    </a:solidFill>
                    <a:latin typeface="Univers 57 Condensed" pitchFamily="50" charset="0"/>
                  </a:rPr>
                  <a:t>ETa</a:t>
                </a:r>
                <a:r>
                  <a:rPr lang="en-US" sz="1200" baseline="0">
                    <a:solidFill>
                      <a:schemeClr val="tx1"/>
                    </a:solidFill>
                    <a:latin typeface="Univers 57 Condensed" pitchFamily="50" charset="0"/>
                  </a:rPr>
                  <a:t> </a:t>
                </a:r>
                <a:r>
                  <a:rPr lang="en-US" sz="1200">
                    <a:solidFill>
                      <a:schemeClr val="tx1"/>
                    </a:solidFill>
                    <a:latin typeface="Univers 57 Condensed" pitchFamily="50" charset="0"/>
                  </a:rPr>
                  <a:t>(mm)</a:t>
                </a:r>
              </a:p>
            </c:rich>
          </c:tx>
          <c:overlay val="0"/>
          <c:spPr>
            <a:noFill/>
            <a:ln>
              <a:noFill/>
            </a:ln>
            <a:effectLst/>
          </c:spPr>
          <c:txPr>
            <a:bodyPr rot="-5400000" spcFirstLastPara="1" vertOverflow="ellipsis" vert="horz" wrap="square" anchor="ctr" anchorCtr="1"/>
            <a:lstStyle/>
            <a:p>
              <a:pPr>
                <a:defRPr sz="1200" b="1" i="0" u="none" strike="noStrike" kern="1200" baseline="0">
                  <a:solidFill>
                    <a:schemeClr val="tx1"/>
                  </a:solidFill>
                  <a:latin typeface="Univers 57 Condensed" pitchFamily="50" charset="0"/>
                  <a:ea typeface="+mn-ea"/>
                  <a:cs typeface="+mn-cs"/>
                </a:defRPr>
              </a:pPr>
              <a:endParaRPr lang="en-US"/>
            </a:p>
          </c:txPr>
        </c:title>
        <c:numFmt formatCode="General" sourceLinked="1"/>
        <c:majorTickMark val="out"/>
        <c:minorTickMark val="none"/>
        <c:tickLblPos val="nextTo"/>
        <c:spPr>
          <a:noFill/>
          <a:ln>
            <a:noFill/>
          </a:ln>
          <a:effectLst/>
        </c:spPr>
        <c:txPr>
          <a:bodyPr rot="-60000000" spcFirstLastPara="1" vertOverflow="ellipsis" vert="horz" wrap="square" anchor="ctr" anchorCtr="1"/>
          <a:lstStyle/>
          <a:p>
            <a:pPr>
              <a:defRPr sz="1200" b="0" i="0" u="none" strike="noStrike" kern="1200" baseline="0">
                <a:solidFill>
                  <a:schemeClr val="tx1"/>
                </a:solidFill>
                <a:latin typeface="Univers 57 Condensed" pitchFamily="50" charset="0"/>
                <a:ea typeface="+mn-ea"/>
                <a:cs typeface="+mn-cs"/>
              </a:defRPr>
            </a:pPr>
            <a:endParaRPr lang="en-US"/>
          </a:p>
        </c:txPr>
        <c:crossAx val="2020192800"/>
        <c:crosses val="autoZero"/>
        <c:crossBetween val="between"/>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a:pPr>
      <a:endParaRPr lang="en-US"/>
    </a:p>
  </c:txPr>
  <c:externalData r:id="rId3">
    <c:autoUpdate val="0"/>
  </c:externalData>
</c:chartSpace>
</file>

<file path=word/charts/chart2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spPr>
            <a:solidFill>
              <a:schemeClr val="tx2"/>
            </a:solidFill>
            <a:ln>
              <a:noFill/>
            </a:ln>
            <a:effectLst/>
          </c:spPr>
          <c:invertIfNegative val="0"/>
          <c:cat>
            <c:strRef>
              <c:f>Weno!$A$172:$A$335</c:f>
              <c:strCache>
                <c:ptCount val="164"/>
                <c:pt idx="0">
                  <c:v>2012-02</c:v>
                </c:pt>
                <c:pt idx="1">
                  <c:v>2012-03</c:v>
                </c:pt>
                <c:pt idx="2">
                  <c:v>2012-04</c:v>
                </c:pt>
                <c:pt idx="3">
                  <c:v>2012-05</c:v>
                </c:pt>
                <c:pt idx="4">
                  <c:v>2012-06</c:v>
                </c:pt>
                <c:pt idx="5">
                  <c:v>2012-07</c:v>
                </c:pt>
                <c:pt idx="6">
                  <c:v>2012-08</c:v>
                </c:pt>
                <c:pt idx="7">
                  <c:v>2012-09</c:v>
                </c:pt>
                <c:pt idx="8">
                  <c:v>2012-10</c:v>
                </c:pt>
                <c:pt idx="9">
                  <c:v>2012-11</c:v>
                </c:pt>
                <c:pt idx="10">
                  <c:v>2012-12</c:v>
                </c:pt>
                <c:pt idx="11">
                  <c:v>2013-01</c:v>
                </c:pt>
                <c:pt idx="12">
                  <c:v>2013-02</c:v>
                </c:pt>
                <c:pt idx="13">
                  <c:v>2013-03</c:v>
                </c:pt>
                <c:pt idx="14">
                  <c:v>2013-04</c:v>
                </c:pt>
                <c:pt idx="15">
                  <c:v>2013-05</c:v>
                </c:pt>
                <c:pt idx="16">
                  <c:v>2013-06</c:v>
                </c:pt>
                <c:pt idx="17">
                  <c:v>2013-07</c:v>
                </c:pt>
                <c:pt idx="18">
                  <c:v>2013-08</c:v>
                </c:pt>
                <c:pt idx="19">
                  <c:v>2013-09</c:v>
                </c:pt>
                <c:pt idx="20">
                  <c:v>2013-10</c:v>
                </c:pt>
                <c:pt idx="21">
                  <c:v>2013-11</c:v>
                </c:pt>
                <c:pt idx="22">
                  <c:v>2013-12</c:v>
                </c:pt>
                <c:pt idx="23">
                  <c:v>2014-01</c:v>
                </c:pt>
                <c:pt idx="24">
                  <c:v>2014-02</c:v>
                </c:pt>
                <c:pt idx="25">
                  <c:v>2014-03</c:v>
                </c:pt>
                <c:pt idx="26">
                  <c:v>2014-04</c:v>
                </c:pt>
                <c:pt idx="27">
                  <c:v>2014-05</c:v>
                </c:pt>
                <c:pt idx="28">
                  <c:v>2014-06</c:v>
                </c:pt>
                <c:pt idx="29">
                  <c:v>2014-07</c:v>
                </c:pt>
                <c:pt idx="30">
                  <c:v>2014-08</c:v>
                </c:pt>
                <c:pt idx="31">
                  <c:v>2014-09</c:v>
                </c:pt>
                <c:pt idx="32">
                  <c:v>2014-10</c:v>
                </c:pt>
                <c:pt idx="33">
                  <c:v>2014-11</c:v>
                </c:pt>
                <c:pt idx="34">
                  <c:v>2014-12</c:v>
                </c:pt>
                <c:pt idx="35">
                  <c:v>2015-01</c:v>
                </c:pt>
                <c:pt idx="36">
                  <c:v>2015-02</c:v>
                </c:pt>
                <c:pt idx="37">
                  <c:v>2015-03</c:v>
                </c:pt>
                <c:pt idx="38">
                  <c:v>2015-04</c:v>
                </c:pt>
                <c:pt idx="39">
                  <c:v>2015-05</c:v>
                </c:pt>
                <c:pt idx="40">
                  <c:v>2015-06</c:v>
                </c:pt>
                <c:pt idx="41">
                  <c:v>2015-07</c:v>
                </c:pt>
                <c:pt idx="42">
                  <c:v>2015-08</c:v>
                </c:pt>
                <c:pt idx="43">
                  <c:v>2015-09</c:v>
                </c:pt>
                <c:pt idx="44">
                  <c:v>2015-10</c:v>
                </c:pt>
                <c:pt idx="45">
                  <c:v>2015-11</c:v>
                </c:pt>
                <c:pt idx="46">
                  <c:v>2015-12</c:v>
                </c:pt>
                <c:pt idx="47">
                  <c:v>2016-01</c:v>
                </c:pt>
                <c:pt idx="48">
                  <c:v>2016-02</c:v>
                </c:pt>
                <c:pt idx="49">
                  <c:v>2016-03</c:v>
                </c:pt>
                <c:pt idx="50">
                  <c:v>2016-04</c:v>
                </c:pt>
                <c:pt idx="51">
                  <c:v>2016-05</c:v>
                </c:pt>
                <c:pt idx="52">
                  <c:v>2016-06</c:v>
                </c:pt>
                <c:pt idx="53">
                  <c:v>2016-07</c:v>
                </c:pt>
                <c:pt idx="54">
                  <c:v>2016-08</c:v>
                </c:pt>
                <c:pt idx="55">
                  <c:v>2016-09</c:v>
                </c:pt>
                <c:pt idx="56">
                  <c:v>2016-10</c:v>
                </c:pt>
                <c:pt idx="57">
                  <c:v>2016-11</c:v>
                </c:pt>
                <c:pt idx="58">
                  <c:v>2016-12</c:v>
                </c:pt>
                <c:pt idx="59">
                  <c:v>2017-01</c:v>
                </c:pt>
                <c:pt idx="60">
                  <c:v>2017-02</c:v>
                </c:pt>
                <c:pt idx="61">
                  <c:v>2017-03</c:v>
                </c:pt>
                <c:pt idx="62">
                  <c:v>2017-04</c:v>
                </c:pt>
                <c:pt idx="63">
                  <c:v>2017-05</c:v>
                </c:pt>
                <c:pt idx="64">
                  <c:v>2017-06</c:v>
                </c:pt>
                <c:pt idx="65">
                  <c:v>2017-07</c:v>
                </c:pt>
                <c:pt idx="66">
                  <c:v>2017-08</c:v>
                </c:pt>
                <c:pt idx="67">
                  <c:v>2017-09</c:v>
                </c:pt>
                <c:pt idx="68">
                  <c:v>2017-10</c:v>
                </c:pt>
                <c:pt idx="69">
                  <c:v>2017-11</c:v>
                </c:pt>
                <c:pt idx="70">
                  <c:v>2017-12</c:v>
                </c:pt>
                <c:pt idx="71">
                  <c:v>2018-01</c:v>
                </c:pt>
                <c:pt idx="72">
                  <c:v>2018-02</c:v>
                </c:pt>
                <c:pt idx="73">
                  <c:v>2018-03</c:v>
                </c:pt>
                <c:pt idx="74">
                  <c:v>2018-04</c:v>
                </c:pt>
                <c:pt idx="75">
                  <c:v>2018-05</c:v>
                </c:pt>
                <c:pt idx="76">
                  <c:v>2018-06</c:v>
                </c:pt>
                <c:pt idx="77">
                  <c:v>2018-07</c:v>
                </c:pt>
                <c:pt idx="78">
                  <c:v>2018-08</c:v>
                </c:pt>
                <c:pt idx="79">
                  <c:v>2018-09</c:v>
                </c:pt>
                <c:pt idx="80">
                  <c:v>2018-10</c:v>
                </c:pt>
                <c:pt idx="81">
                  <c:v>2018-11</c:v>
                </c:pt>
                <c:pt idx="82">
                  <c:v>2018-12</c:v>
                </c:pt>
                <c:pt idx="83">
                  <c:v>2019-01</c:v>
                </c:pt>
                <c:pt idx="84">
                  <c:v>2019-02</c:v>
                </c:pt>
                <c:pt idx="85">
                  <c:v>2019-03</c:v>
                </c:pt>
                <c:pt idx="86">
                  <c:v>2019-04</c:v>
                </c:pt>
                <c:pt idx="87">
                  <c:v>2019-05</c:v>
                </c:pt>
                <c:pt idx="88">
                  <c:v>2019-06</c:v>
                </c:pt>
                <c:pt idx="89">
                  <c:v>2019-07</c:v>
                </c:pt>
                <c:pt idx="90">
                  <c:v>2019-08</c:v>
                </c:pt>
                <c:pt idx="91">
                  <c:v>2019-09</c:v>
                </c:pt>
                <c:pt idx="92">
                  <c:v>2019-10</c:v>
                </c:pt>
                <c:pt idx="93">
                  <c:v>2019-11</c:v>
                </c:pt>
                <c:pt idx="94">
                  <c:v>2019-12</c:v>
                </c:pt>
                <c:pt idx="95">
                  <c:v>2020-01</c:v>
                </c:pt>
                <c:pt idx="96">
                  <c:v>2020-02</c:v>
                </c:pt>
                <c:pt idx="97">
                  <c:v>2020-03</c:v>
                </c:pt>
                <c:pt idx="98">
                  <c:v>2020-04</c:v>
                </c:pt>
                <c:pt idx="99">
                  <c:v>2020-05</c:v>
                </c:pt>
                <c:pt idx="100">
                  <c:v>2020-06</c:v>
                </c:pt>
                <c:pt idx="101">
                  <c:v>2020-07</c:v>
                </c:pt>
                <c:pt idx="102">
                  <c:v>2020-08</c:v>
                </c:pt>
                <c:pt idx="103">
                  <c:v>2020-09</c:v>
                </c:pt>
                <c:pt idx="104">
                  <c:v>2020-10</c:v>
                </c:pt>
                <c:pt idx="105">
                  <c:v>2020-11</c:v>
                </c:pt>
                <c:pt idx="106">
                  <c:v>2020-12</c:v>
                </c:pt>
                <c:pt idx="107">
                  <c:v>2021-01</c:v>
                </c:pt>
                <c:pt idx="108">
                  <c:v>2021-02</c:v>
                </c:pt>
                <c:pt idx="109">
                  <c:v>2021-03</c:v>
                </c:pt>
                <c:pt idx="110">
                  <c:v>2021-04</c:v>
                </c:pt>
                <c:pt idx="111">
                  <c:v>2021-05</c:v>
                </c:pt>
                <c:pt idx="112">
                  <c:v>2021-06</c:v>
                </c:pt>
                <c:pt idx="113">
                  <c:v>2021-07</c:v>
                </c:pt>
                <c:pt idx="114">
                  <c:v>2021-08</c:v>
                </c:pt>
                <c:pt idx="115">
                  <c:v>2021-09</c:v>
                </c:pt>
                <c:pt idx="116">
                  <c:v>2021-10</c:v>
                </c:pt>
                <c:pt idx="117">
                  <c:v>2021-11</c:v>
                </c:pt>
                <c:pt idx="118">
                  <c:v>2021-12</c:v>
                </c:pt>
                <c:pt idx="119">
                  <c:v>2022-01</c:v>
                </c:pt>
                <c:pt idx="120">
                  <c:v>2022-02</c:v>
                </c:pt>
                <c:pt idx="121">
                  <c:v>2022-03</c:v>
                </c:pt>
                <c:pt idx="122">
                  <c:v>2022-04</c:v>
                </c:pt>
                <c:pt idx="123">
                  <c:v>2022-05</c:v>
                </c:pt>
                <c:pt idx="124">
                  <c:v>2022-06</c:v>
                </c:pt>
                <c:pt idx="125">
                  <c:v>2022-07</c:v>
                </c:pt>
                <c:pt idx="126">
                  <c:v>2022-08</c:v>
                </c:pt>
                <c:pt idx="127">
                  <c:v>2022-09</c:v>
                </c:pt>
                <c:pt idx="128">
                  <c:v>2022-10</c:v>
                </c:pt>
                <c:pt idx="129">
                  <c:v>2022-11</c:v>
                </c:pt>
                <c:pt idx="130">
                  <c:v>2022-12</c:v>
                </c:pt>
                <c:pt idx="131">
                  <c:v>2023-01</c:v>
                </c:pt>
                <c:pt idx="132">
                  <c:v>2023-02</c:v>
                </c:pt>
                <c:pt idx="133">
                  <c:v>2023-03</c:v>
                </c:pt>
                <c:pt idx="134">
                  <c:v>2023-04</c:v>
                </c:pt>
                <c:pt idx="135">
                  <c:v>2023-05</c:v>
                </c:pt>
                <c:pt idx="136">
                  <c:v>2023-06</c:v>
                </c:pt>
                <c:pt idx="137">
                  <c:v>2023-07</c:v>
                </c:pt>
                <c:pt idx="138">
                  <c:v>2023-08</c:v>
                </c:pt>
                <c:pt idx="139">
                  <c:v>2023-09</c:v>
                </c:pt>
                <c:pt idx="140">
                  <c:v>2023-10</c:v>
                </c:pt>
                <c:pt idx="141">
                  <c:v>2023-11</c:v>
                </c:pt>
                <c:pt idx="142">
                  <c:v>2023-12</c:v>
                </c:pt>
                <c:pt idx="143">
                  <c:v>2024-01</c:v>
                </c:pt>
                <c:pt idx="144">
                  <c:v>2024-02</c:v>
                </c:pt>
                <c:pt idx="145">
                  <c:v>2024-03</c:v>
                </c:pt>
                <c:pt idx="146">
                  <c:v>2024-04</c:v>
                </c:pt>
                <c:pt idx="147">
                  <c:v>2024-05</c:v>
                </c:pt>
                <c:pt idx="148">
                  <c:v>2024-06</c:v>
                </c:pt>
                <c:pt idx="149">
                  <c:v>2024-07</c:v>
                </c:pt>
                <c:pt idx="150">
                  <c:v>2024-08</c:v>
                </c:pt>
                <c:pt idx="151">
                  <c:v>2024-09</c:v>
                </c:pt>
                <c:pt idx="152">
                  <c:v>2024-10</c:v>
                </c:pt>
                <c:pt idx="153">
                  <c:v>2024-11</c:v>
                </c:pt>
                <c:pt idx="154">
                  <c:v>2024-12</c:v>
                </c:pt>
                <c:pt idx="155">
                  <c:v>2025-01</c:v>
                </c:pt>
                <c:pt idx="156">
                  <c:v>2025-02</c:v>
                </c:pt>
                <c:pt idx="157">
                  <c:v>2025-03</c:v>
                </c:pt>
                <c:pt idx="158">
                  <c:v>2025-04</c:v>
                </c:pt>
                <c:pt idx="159">
                  <c:v>2025-05</c:v>
                </c:pt>
                <c:pt idx="160">
                  <c:v>2025-06</c:v>
                </c:pt>
                <c:pt idx="161">
                  <c:v>2025-07</c:v>
                </c:pt>
                <c:pt idx="162">
                  <c:v>2025-08</c:v>
                </c:pt>
                <c:pt idx="163">
                  <c:v>2025-09</c:v>
                </c:pt>
              </c:strCache>
            </c:strRef>
          </c:cat>
          <c:val>
            <c:numRef>
              <c:f>Weno!$F$172:$F$335</c:f>
              <c:numCache>
                <c:formatCode>0.00</c:formatCode>
                <c:ptCount val="164"/>
                <c:pt idx="0">
                  <c:v>264.22497337000004</c:v>
                </c:pt>
                <c:pt idx="1">
                  <c:v>37.917500321999995</c:v>
                </c:pt>
                <c:pt idx="2">
                  <c:v>20.647493690999994</c:v>
                </c:pt>
                <c:pt idx="3">
                  <c:v>216.65748587900001</c:v>
                </c:pt>
                <c:pt idx="4">
                  <c:v>211.80749426300002</c:v>
                </c:pt>
                <c:pt idx="5">
                  <c:v>187.44499643699999</c:v>
                </c:pt>
                <c:pt idx="6">
                  <c:v>445.82249250000001</c:v>
                </c:pt>
                <c:pt idx="7">
                  <c:v>225.492503841</c:v>
                </c:pt>
                <c:pt idx="8">
                  <c:v>204.59999500499998</c:v>
                </c:pt>
                <c:pt idx="9">
                  <c:v>156.44499857599999</c:v>
                </c:pt>
                <c:pt idx="10">
                  <c:v>76.749997201000014</c:v>
                </c:pt>
                <c:pt idx="11">
                  <c:v>23.072497384000002</c:v>
                </c:pt>
                <c:pt idx="12">
                  <c:v>153.804993744</c:v>
                </c:pt>
                <c:pt idx="13">
                  <c:v>281.14248638000004</c:v>
                </c:pt>
                <c:pt idx="14">
                  <c:v>57.487497926999993</c:v>
                </c:pt>
                <c:pt idx="15">
                  <c:v>35.734998714998994</c:v>
                </c:pt>
                <c:pt idx="16">
                  <c:v>113.11249603900001</c:v>
                </c:pt>
                <c:pt idx="17">
                  <c:v>82.904999074000003</c:v>
                </c:pt>
                <c:pt idx="18">
                  <c:v>72.772493861000001</c:v>
                </c:pt>
                <c:pt idx="19">
                  <c:v>131.98499308300001</c:v>
                </c:pt>
                <c:pt idx="20">
                  <c:v>343.95747658300002</c:v>
                </c:pt>
                <c:pt idx="21">
                  <c:v>159.404987404</c:v>
                </c:pt>
                <c:pt idx="22">
                  <c:v>56.887497150998996</c:v>
                </c:pt>
                <c:pt idx="23">
                  <c:v>6.3374980059999899</c:v>
                </c:pt>
                <c:pt idx="24">
                  <c:v>517.00500219000003</c:v>
                </c:pt>
                <c:pt idx="25">
                  <c:v>154.97249600100002</c:v>
                </c:pt>
                <c:pt idx="26">
                  <c:v>302.529972337</c:v>
                </c:pt>
                <c:pt idx="27">
                  <c:v>169.68998272900001</c:v>
                </c:pt>
                <c:pt idx="28">
                  <c:v>93.807493273000006</c:v>
                </c:pt>
                <c:pt idx="29">
                  <c:v>233.839997716</c:v>
                </c:pt>
                <c:pt idx="30">
                  <c:v>51.232498590000006</c:v>
                </c:pt>
                <c:pt idx="31">
                  <c:v>169.15999486000001</c:v>
                </c:pt>
                <c:pt idx="32">
                  <c:v>115.11000295899998</c:v>
                </c:pt>
                <c:pt idx="33">
                  <c:v>-0.74499864999999943</c:v>
                </c:pt>
                <c:pt idx="34">
                  <c:v>78.969990684999999</c:v>
                </c:pt>
                <c:pt idx="35">
                  <c:v>206.957491788</c:v>
                </c:pt>
                <c:pt idx="36">
                  <c:v>93.524993598999998</c:v>
                </c:pt>
                <c:pt idx="37">
                  <c:v>130.95999636800002</c:v>
                </c:pt>
                <c:pt idx="38">
                  <c:v>153.55749433900002</c:v>
                </c:pt>
                <c:pt idx="39">
                  <c:v>63.214990273998993</c:v>
                </c:pt>
                <c:pt idx="40">
                  <c:v>318.27748755499999</c:v>
                </c:pt>
                <c:pt idx="41">
                  <c:v>-33.894999611999992</c:v>
                </c:pt>
                <c:pt idx="42">
                  <c:v>175.03499413699998</c:v>
                </c:pt>
                <c:pt idx="43">
                  <c:v>411.86996967900001</c:v>
                </c:pt>
                <c:pt idx="44">
                  <c:v>3.10250133400001</c:v>
                </c:pt>
                <c:pt idx="45">
                  <c:v>21.44999866599899</c:v>
                </c:pt>
                <c:pt idx="46">
                  <c:v>23.224998377000006</c:v>
                </c:pt>
                <c:pt idx="47">
                  <c:v>120.85249401900001</c:v>
                </c:pt>
                <c:pt idx="48">
                  <c:v>-136.39134882734899</c:v>
                </c:pt>
                <c:pt idx="49">
                  <c:v>-95.840000704000005</c:v>
                </c:pt>
                <c:pt idx="50">
                  <c:v>38.792494935000008</c:v>
                </c:pt>
                <c:pt idx="51">
                  <c:v>159.52500066299899</c:v>
                </c:pt>
                <c:pt idx="52">
                  <c:v>68.554993144000008</c:v>
                </c:pt>
                <c:pt idx="53">
                  <c:v>96.819993202999996</c:v>
                </c:pt>
                <c:pt idx="54">
                  <c:v>132.302489571</c:v>
                </c:pt>
                <c:pt idx="55">
                  <c:v>102.58499231100001</c:v>
                </c:pt>
                <c:pt idx="56">
                  <c:v>80.907493991999999</c:v>
                </c:pt>
                <c:pt idx="57">
                  <c:v>215.444989867</c:v>
                </c:pt>
                <c:pt idx="58">
                  <c:v>188.93749330000003</c:v>
                </c:pt>
                <c:pt idx="59">
                  <c:v>194.06749617000003</c:v>
                </c:pt>
                <c:pt idx="60">
                  <c:v>25.087498801999999</c:v>
                </c:pt>
                <c:pt idx="61">
                  <c:v>349.51749302999997</c:v>
                </c:pt>
                <c:pt idx="62">
                  <c:v>69.760003314999992</c:v>
                </c:pt>
                <c:pt idx="63">
                  <c:v>45.094995553999993</c:v>
                </c:pt>
                <c:pt idx="64">
                  <c:v>42.302496224999985</c:v>
                </c:pt>
                <c:pt idx="65">
                  <c:v>130.90249084999999</c:v>
                </c:pt>
                <c:pt idx="66">
                  <c:v>129.802487587</c:v>
                </c:pt>
                <c:pt idx="67">
                  <c:v>2.3449993379999938</c:v>
                </c:pt>
                <c:pt idx="68">
                  <c:v>125.16749455200001</c:v>
                </c:pt>
                <c:pt idx="69">
                  <c:v>103.40999658800001</c:v>
                </c:pt>
                <c:pt idx="70">
                  <c:v>127.87499365600002</c:v>
                </c:pt>
                <c:pt idx="71">
                  <c:v>32.569994010000002</c:v>
                </c:pt>
                <c:pt idx="72">
                  <c:v>182.869974638</c:v>
                </c:pt>
                <c:pt idx="73">
                  <c:v>168.85000192300001</c:v>
                </c:pt>
                <c:pt idx="74">
                  <c:v>44.502504270999992</c:v>
                </c:pt>
                <c:pt idx="75">
                  <c:v>201.65998801999999</c:v>
                </c:pt>
                <c:pt idx="76">
                  <c:v>151.71499956</c:v>
                </c:pt>
                <c:pt idx="77">
                  <c:v>254.62499094999998</c:v>
                </c:pt>
                <c:pt idx="78">
                  <c:v>214.94248764699998</c:v>
                </c:pt>
                <c:pt idx="79">
                  <c:v>285.05247376099999</c:v>
                </c:pt>
                <c:pt idx="80">
                  <c:v>141.82747093199899</c:v>
                </c:pt>
                <c:pt idx="81">
                  <c:v>96.147495770000006</c:v>
                </c:pt>
                <c:pt idx="82">
                  <c:v>11.264994759999993</c:v>
                </c:pt>
                <c:pt idx="83">
                  <c:v>278.92249347699999</c:v>
                </c:pt>
                <c:pt idx="84">
                  <c:v>-25.562499000999992</c:v>
                </c:pt>
                <c:pt idx="85">
                  <c:v>269.86247445800001</c:v>
                </c:pt>
                <c:pt idx="86">
                  <c:v>5.1649959060000015</c:v>
                </c:pt>
                <c:pt idx="87">
                  <c:v>-28.560002863999998</c:v>
                </c:pt>
                <c:pt idx="88">
                  <c:v>185.604986172</c:v>
                </c:pt>
                <c:pt idx="89">
                  <c:v>93.787493404000003</c:v>
                </c:pt>
                <c:pt idx="90">
                  <c:v>223.95749800599998</c:v>
                </c:pt>
                <c:pt idx="91">
                  <c:v>269.02248896399999</c:v>
                </c:pt>
                <c:pt idx="92">
                  <c:v>11.634997745999996</c:v>
                </c:pt>
                <c:pt idx="93">
                  <c:v>201.93249733300001</c:v>
                </c:pt>
                <c:pt idx="94">
                  <c:v>359.08248449200005</c:v>
                </c:pt>
                <c:pt idx="95">
                  <c:v>75.097491778999995</c:v>
                </c:pt>
                <c:pt idx="96">
                  <c:v>-26.120001154000093</c:v>
                </c:pt>
                <c:pt idx="97">
                  <c:v>-70.452503601000004</c:v>
                </c:pt>
                <c:pt idx="98">
                  <c:v>-5.8650004699999982</c:v>
                </c:pt>
                <c:pt idx="99">
                  <c:v>217.899988089</c:v>
                </c:pt>
                <c:pt idx="100">
                  <c:v>74.992496300000013</c:v>
                </c:pt>
                <c:pt idx="101">
                  <c:v>42.042499203999995</c:v>
                </c:pt>
                <c:pt idx="102">
                  <c:v>139.05749593800002</c:v>
                </c:pt>
                <c:pt idx="103">
                  <c:v>156.227492934</c:v>
                </c:pt>
                <c:pt idx="104">
                  <c:v>132.67750283800001</c:v>
                </c:pt>
                <c:pt idx="105">
                  <c:v>323.31750530600004</c:v>
                </c:pt>
                <c:pt idx="106">
                  <c:v>281.37498974200003</c:v>
                </c:pt>
                <c:pt idx="107">
                  <c:v>63.36250268500001</c:v>
                </c:pt>
                <c:pt idx="108">
                  <c:v>96.884985357000005</c:v>
                </c:pt>
                <c:pt idx="109">
                  <c:v>167.52749562800003</c:v>
                </c:pt>
                <c:pt idx="110">
                  <c:v>22.54749606899999</c:v>
                </c:pt>
                <c:pt idx="111">
                  <c:v>460.224974094</c:v>
                </c:pt>
                <c:pt idx="112">
                  <c:v>53.347493799999995</c:v>
                </c:pt>
                <c:pt idx="113">
                  <c:v>205.29247242999998</c:v>
                </c:pt>
                <c:pt idx="114">
                  <c:v>80.27749441200001</c:v>
                </c:pt>
                <c:pt idx="115">
                  <c:v>210.08499037499996</c:v>
                </c:pt>
                <c:pt idx="116">
                  <c:v>247.95750208100003</c:v>
                </c:pt>
                <c:pt idx="117">
                  <c:v>137.067496629</c:v>
                </c:pt>
                <c:pt idx="118">
                  <c:v>246.37999900200003</c:v>
                </c:pt>
                <c:pt idx="119">
                  <c:v>-41.365000240000001</c:v>
                </c:pt>
                <c:pt idx="120">
                  <c:v>-43.655001205999994</c:v>
                </c:pt>
                <c:pt idx="121">
                  <c:v>186.250004574</c:v>
                </c:pt>
                <c:pt idx="122">
                  <c:v>254.08749498200001</c:v>
                </c:pt>
                <c:pt idx="123">
                  <c:v>217.48747610000001</c:v>
                </c:pt>
                <c:pt idx="124">
                  <c:v>126.604997528</c:v>
                </c:pt>
                <c:pt idx="125">
                  <c:v>253.542492291</c:v>
                </c:pt>
                <c:pt idx="126">
                  <c:v>140.29498885499999</c:v>
                </c:pt>
                <c:pt idx="127">
                  <c:v>253.22998188700001</c:v>
                </c:pt>
                <c:pt idx="128">
                  <c:v>335.87498844799995</c:v>
                </c:pt>
                <c:pt idx="129">
                  <c:v>121.132493297</c:v>
                </c:pt>
                <c:pt idx="130">
                  <c:v>137.99749131499999</c:v>
                </c:pt>
                <c:pt idx="131">
                  <c:v>79.112486492999992</c:v>
                </c:pt>
                <c:pt idx="132">
                  <c:v>238.674983559</c:v>
                </c:pt>
                <c:pt idx="133">
                  <c:v>0.72749968399999432</c:v>
                </c:pt>
                <c:pt idx="134">
                  <c:v>184.59498933</c:v>
                </c:pt>
                <c:pt idx="135">
                  <c:v>440.02248200699995</c:v>
                </c:pt>
                <c:pt idx="136">
                  <c:v>261.70498322100002</c:v>
                </c:pt>
                <c:pt idx="137">
                  <c:v>337.57249175100003</c:v>
                </c:pt>
                <c:pt idx="138">
                  <c:v>325.27250954300001</c:v>
                </c:pt>
                <c:pt idx="139">
                  <c:v>235.45248882099997</c:v>
                </c:pt>
                <c:pt idx="140">
                  <c:v>227.76499111499999</c:v>
                </c:pt>
                <c:pt idx="141">
                  <c:v>130.412503278</c:v>
                </c:pt>
                <c:pt idx="142">
                  <c:v>119.252507673</c:v>
                </c:pt>
                <c:pt idx="143">
                  <c:v>11.052494824000007</c:v>
                </c:pt>
                <c:pt idx="144">
                  <c:v>97.864994848000009</c:v>
                </c:pt>
                <c:pt idx="145">
                  <c:v>-70.679999774999999</c:v>
                </c:pt>
                <c:pt idx="146">
                  <c:v>193.55000243200001</c:v>
                </c:pt>
                <c:pt idx="147">
                  <c:v>225.94999288100001</c:v>
                </c:pt>
                <c:pt idx="148">
                  <c:v>278.37749363599903</c:v>
                </c:pt>
                <c:pt idx="149">
                  <c:v>143.51499580300001</c:v>
                </c:pt>
                <c:pt idx="150">
                  <c:v>129.19000033099999</c:v>
                </c:pt>
                <c:pt idx="151">
                  <c:v>256.06251101700002</c:v>
                </c:pt>
                <c:pt idx="152">
                  <c:v>42.84999808500001</c:v>
                </c:pt>
                <c:pt idx="153">
                  <c:v>147.687495915</c:v>
                </c:pt>
                <c:pt idx="154">
                  <c:v>229.87499283599999</c:v>
                </c:pt>
                <c:pt idx="155">
                  <c:v>-42.485004118000006</c:v>
                </c:pt>
                <c:pt idx="156">
                  <c:v>135.16749181199998</c:v>
                </c:pt>
                <c:pt idx="157">
                  <c:v>16.269994554998988</c:v>
                </c:pt>
                <c:pt idx="158">
                  <c:v>107.25498537899999</c:v>
                </c:pt>
                <c:pt idx="159">
                  <c:v>48.709994967</c:v>
                </c:pt>
                <c:pt idx="160">
                  <c:v>141.78250079799898</c:v>
                </c:pt>
                <c:pt idx="161">
                  <c:v>192.13999811699998</c:v>
                </c:pt>
                <c:pt idx="162">
                  <c:v>274.51499688299998</c:v>
                </c:pt>
                <c:pt idx="163">
                  <c:v>213.89748747499999</c:v>
                </c:pt>
              </c:numCache>
            </c:numRef>
          </c:val>
          <c:extLst>
            <c:ext xmlns:c16="http://schemas.microsoft.com/office/drawing/2014/chart" uri="{C3380CC4-5D6E-409C-BE32-E72D297353CC}">
              <c16:uniqueId val="{00000000-E8C7-4AEC-9575-CB955500BADF}"/>
            </c:ext>
          </c:extLst>
        </c:ser>
        <c:dLbls>
          <c:showLegendKey val="0"/>
          <c:showVal val="0"/>
          <c:showCatName val="0"/>
          <c:showSerName val="0"/>
          <c:showPercent val="0"/>
          <c:showBubbleSize val="0"/>
        </c:dLbls>
        <c:gapWidth val="0"/>
        <c:overlap val="-27"/>
        <c:axId val="1823723120"/>
        <c:axId val="1823717840"/>
      </c:barChart>
      <c:catAx>
        <c:axId val="1823723120"/>
        <c:scaling>
          <c:orientation val="minMax"/>
        </c:scaling>
        <c:delete val="0"/>
        <c:axPos val="b"/>
        <c:title>
          <c:tx>
            <c:rich>
              <a:bodyPr rot="0" spcFirstLastPara="1" vertOverflow="ellipsis" vert="horz" wrap="square" anchor="ctr" anchorCtr="1"/>
              <a:lstStyle/>
              <a:p>
                <a:pPr>
                  <a:defRPr sz="1200" b="0" i="0" u="none" strike="noStrike" kern="1200" baseline="0">
                    <a:solidFill>
                      <a:schemeClr val="tx1">
                        <a:lumMod val="65000"/>
                        <a:lumOff val="35000"/>
                      </a:schemeClr>
                    </a:solidFill>
                    <a:latin typeface="Univers 57 Condensed" pitchFamily="50" charset="0"/>
                    <a:ea typeface="+mn-ea"/>
                    <a:cs typeface="+mn-cs"/>
                  </a:defRPr>
                </a:pPr>
                <a:r>
                  <a:rPr lang="en-US" sz="1200">
                    <a:latin typeface="Univers 57 Condensed" pitchFamily="50" charset="0"/>
                  </a:rPr>
                  <a:t>year-month</a:t>
                </a:r>
              </a:p>
            </c:rich>
          </c:tx>
          <c:layout>
            <c:manualLayout>
              <c:xMode val="edge"/>
              <c:yMode val="edge"/>
              <c:x val="0.49675243601118835"/>
              <c:y val="0.90660340958957419"/>
            </c:manualLayout>
          </c:layout>
          <c:overlay val="0"/>
          <c:spPr>
            <a:noFill/>
            <a:ln>
              <a:noFill/>
            </a:ln>
            <a:effectLst/>
          </c:spPr>
          <c:txPr>
            <a:bodyPr rot="0" spcFirstLastPara="1" vertOverflow="ellipsis" vert="horz" wrap="square" anchor="ctr" anchorCtr="1"/>
            <a:lstStyle/>
            <a:p>
              <a:pPr>
                <a:defRPr sz="1200" b="0" i="0" u="none" strike="noStrike" kern="1200" baseline="0">
                  <a:solidFill>
                    <a:schemeClr val="tx1">
                      <a:lumMod val="65000"/>
                      <a:lumOff val="35000"/>
                    </a:schemeClr>
                  </a:solidFill>
                  <a:latin typeface="Univers 57 Condensed" pitchFamily="50" charset="0"/>
                  <a:ea typeface="+mn-ea"/>
                  <a:cs typeface="+mn-cs"/>
                </a:defRPr>
              </a:pPr>
              <a:endParaRPr lang="en-US"/>
            </a:p>
          </c:txPr>
        </c:title>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200" b="0" i="0" u="none" strike="noStrike" kern="1200" baseline="0">
                <a:solidFill>
                  <a:schemeClr val="tx1"/>
                </a:solidFill>
                <a:latin typeface="Univers 57 Condensed" pitchFamily="50" charset="0"/>
                <a:ea typeface="+mn-ea"/>
                <a:cs typeface="+mn-cs"/>
              </a:defRPr>
            </a:pPr>
            <a:endParaRPr lang="en-US"/>
          </a:p>
        </c:txPr>
        <c:crossAx val="1823717840"/>
        <c:crosses val="autoZero"/>
        <c:auto val="1"/>
        <c:lblAlgn val="ctr"/>
        <c:lblOffset val="0"/>
        <c:tickLblSkip val="6"/>
        <c:noMultiLvlLbl val="0"/>
      </c:catAx>
      <c:valAx>
        <c:axId val="182371784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200" b="0" i="0" u="none" strike="noStrike" kern="1200" baseline="0">
                    <a:solidFill>
                      <a:schemeClr val="tx1"/>
                    </a:solidFill>
                    <a:latin typeface="Univers 57 Condensed" pitchFamily="50" charset="0"/>
                    <a:ea typeface="+mn-ea"/>
                    <a:cs typeface="+mn-cs"/>
                  </a:defRPr>
                </a:pPr>
                <a:r>
                  <a:rPr lang="en-US" sz="1200">
                    <a:solidFill>
                      <a:schemeClr val="tx1"/>
                    </a:solidFill>
                    <a:latin typeface="Univers 57 Condensed" pitchFamily="50" charset="0"/>
                  </a:rPr>
                  <a:t>P - ETa (mm)</a:t>
                </a:r>
              </a:p>
            </c:rich>
          </c:tx>
          <c:overlay val="0"/>
          <c:spPr>
            <a:noFill/>
            <a:ln>
              <a:noFill/>
            </a:ln>
            <a:effectLst/>
          </c:spPr>
          <c:txPr>
            <a:bodyPr rot="-5400000" spcFirstLastPara="1" vertOverflow="ellipsis" vert="horz" wrap="square" anchor="ctr" anchorCtr="1"/>
            <a:lstStyle/>
            <a:p>
              <a:pPr>
                <a:defRPr sz="1200" b="0" i="0" u="none" strike="noStrike" kern="1200" baseline="0">
                  <a:solidFill>
                    <a:schemeClr val="tx1"/>
                  </a:solidFill>
                  <a:latin typeface="Univers 57 Condensed" pitchFamily="50" charset="0"/>
                  <a:ea typeface="+mn-ea"/>
                  <a:cs typeface="+mn-cs"/>
                </a:defRPr>
              </a:pPr>
              <a:endParaRPr lang="en-US"/>
            </a:p>
          </c:txPr>
        </c:title>
        <c:numFmt formatCode="0" sourceLinked="0"/>
        <c:majorTickMark val="none"/>
        <c:minorTickMark val="none"/>
        <c:tickLblPos val="nextTo"/>
        <c:spPr>
          <a:noFill/>
          <a:ln>
            <a:solidFill>
              <a:schemeClr val="bg1">
                <a:lumMod val="75000"/>
              </a:schemeClr>
            </a:solidFill>
          </a:ln>
          <a:effectLst/>
        </c:spPr>
        <c:txPr>
          <a:bodyPr rot="-60000000" spcFirstLastPara="1" vertOverflow="ellipsis" vert="horz" wrap="square" anchor="ctr" anchorCtr="1"/>
          <a:lstStyle/>
          <a:p>
            <a:pPr>
              <a:defRPr sz="1200" b="0" i="0" u="none" strike="noStrike" kern="1200" baseline="0">
                <a:solidFill>
                  <a:schemeClr val="tx1"/>
                </a:solidFill>
                <a:latin typeface="Univers 57 Condensed" pitchFamily="50" charset="0"/>
                <a:ea typeface="+mn-ea"/>
                <a:cs typeface="+mn-cs"/>
              </a:defRPr>
            </a:pPr>
            <a:endParaRPr lang="en-US"/>
          </a:p>
        </c:txPr>
        <c:crossAx val="1823723120"/>
        <c:crosses val="autoZero"/>
        <c:crossBetween val="between"/>
      </c:valAx>
      <c:spPr>
        <a:noFill/>
        <a:ln>
          <a:solidFill>
            <a:schemeClr val="bg1">
              <a:lumMod val="75000"/>
            </a:schemeClr>
          </a:solid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a:pPr>
      <a:endParaRPr lang="en-US"/>
    </a:p>
  </c:txPr>
  <c:externalData r:id="rId3">
    <c:autoUpdate val="0"/>
  </c:externalData>
</c:chartSpace>
</file>

<file path=word/charts/chart2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1"/>
          <c:order val="0"/>
          <c:tx>
            <c:strRef>
              <c:f>Weno!$M$1</c:f>
              <c:strCache>
                <c:ptCount val="1"/>
                <c:pt idx="0">
                  <c:v>IMERG (P)</c:v>
                </c:pt>
              </c:strCache>
            </c:strRef>
          </c:tx>
          <c:spPr>
            <a:solidFill>
              <a:schemeClr val="accent1">
                <a:lumMod val="60000"/>
                <a:lumOff val="40000"/>
              </a:schemeClr>
            </a:solidFill>
            <a:ln>
              <a:noFill/>
            </a:ln>
            <a:effectLst/>
          </c:spPr>
          <c:invertIfNegative val="0"/>
          <c:cat>
            <c:numRef>
              <c:f>Weno!$L$18:$L$29</c:f>
              <c:numCache>
                <c:formatCode>General</c:formatCode>
                <c:ptCount val="12"/>
                <c:pt idx="0">
                  <c:v>2013</c:v>
                </c:pt>
                <c:pt idx="1">
                  <c:v>2014</c:v>
                </c:pt>
                <c:pt idx="2">
                  <c:v>2015</c:v>
                </c:pt>
                <c:pt idx="3">
                  <c:v>2016</c:v>
                </c:pt>
                <c:pt idx="4">
                  <c:v>2017</c:v>
                </c:pt>
                <c:pt idx="5">
                  <c:v>2018</c:v>
                </c:pt>
                <c:pt idx="6">
                  <c:v>2019</c:v>
                </c:pt>
                <c:pt idx="7">
                  <c:v>2020</c:v>
                </c:pt>
                <c:pt idx="8">
                  <c:v>2021</c:v>
                </c:pt>
                <c:pt idx="9">
                  <c:v>2022</c:v>
                </c:pt>
                <c:pt idx="10">
                  <c:v>2023</c:v>
                </c:pt>
                <c:pt idx="11">
                  <c:v>2024</c:v>
                </c:pt>
              </c:numCache>
            </c:numRef>
          </c:cat>
          <c:val>
            <c:numRef>
              <c:f>Weno!$M$18:$M$29</c:f>
              <c:numCache>
                <c:formatCode>General</c:formatCode>
                <c:ptCount val="12"/>
                <c:pt idx="0">
                  <c:v>2776.517417345</c:v>
                </c:pt>
                <c:pt idx="1">
                  <c:v>3176.984930696</c:v>
                </c:pt>
                <c:pt idx="2">
                  <c:v>2812.7299165039999</c:v>
                </c:pt>
                <c:pt idx="3">
                  <c:v>2300.87243468</c:v>
                </c:pt>
                <c:pt idx="4">
                  <c:v>2619.2324456669999</c:v>
                </c:pt>
                <c:pt idx="5">
                  <c:v>3046.227376242</c:v>
                </c:pt>
                <c:pt idx="6">
                  <c:v>3119.2749080929998</c:v>
                </c:pt>
                <c:pt idx="7">
                  <c:v>2613.8249569049999</c:v>
                </c:pt>
                <c:pt idx="8">
                  <c:v>3261.4549025619999</c:v>
                </c:pt>
                <c:pt idx="9">
                  <c:v>3182.6324078309999</c:v>
                </c:pt>
                <c:pt idx="10">
                  <c:v>3842.1399164750001</c:v>
                </c:pt>
                <c:pt idx="11">
                  <c:v>2960.3199728330001</c:v>
                </c:pt>
              </c:numCache>
            </c:numRef>
          </c:val>
          <c:extLst>
            <c:ext xmlns:c16="http://schemas.microsoft.com/office/drawing/2014/chart" uri="{C3380CC4-5D6E-409C-BE32-E72D297353CC}">
              <c16:uniqueId val="{00000000-3A8E-45F3-B91E-6BF63B4DD8F2}"/>
            </c:ext>
          </c:extLst>
        </c:ser>
        <c:ser>
          <c:idx val="0"/>
          <c:order val="1"/>
          <c:tx>
            <c:strRef>
              <c:f>Weno!$N$1</c:f>
              <c:strCache>
                <c:ptCount val="1"/>
                <c:pt idx="0">
                  <c:v>SSEBop (ETa)</c:v>
                </c:pt>
              </c:strCache>
            </c:strRef>
          </c:tx>
          <c:spPr>
            <a:solidFill>
              <a:schemeClr val="accent3">
                <a:lumMod val="75000"/>
              </a:schemeClr>
            </a:solidFill>
            <a:ln>
              <a:noFill/>
            </a:ln>
            <a:effectLst/>
          </c:spPr>
          <c:invertIfNegative val="0"/>
          <c:cat>
            <c:numRef>
              <c:f>Weno!$L$18:$L$29</c:f>
              <c:numCache>
                <c:formatCode>General</c:formatCode>
                <c:ptCount val="12"/>
                <c:pt idx="0">
                  <c:v>2013</c:v>
                </c:pt>
                <c:pt idx="1">
                  <c:v>2014</c:v>
                </c:pt>
                <c:pt idx="2">
                  <c:v>2015</c:v>
                </c:pt>
                <c:pt idx="3">
                  <c:v>2016</c:v>
                </c:pt>
                <c:pt idx="4">
                  <c:v>2017</c:v>
                </c:pt>
                <c:pt idx="5">
                  <c:v>2018</c:v>
                </c:pt>
                <c:pt idx="6">
                  <c:v>2019</c:v>
                </c:pt>
                <c:pt idx="7">
                  <c:v>2020</c:v>
                </c:pt>
                <c:pt idx="8">
                  <c:v>2021</c:v>
                </c:pt>
                <c:pt idx="9">
                  <c:v>2022</c:v>
                </c:pt>
                <c:pt idx="10">
                  <c:v>2023</c:v>
                </c:pt>
                <c:pt idx="11">
                  <c:v>2024</c:v>
                </c:pt>
              </c:numCache>
            </c:numRef>
          </c:cat>
          <c:val>
            <c:numRef>
              <c:f>Weno!$N$18:$N$29</c:f>
              <c:numCache>
                <c:formatCode>General</c:formatCode>
                <c:ptCount val="12"/>
                <c:pt idx="0">
                  <c:v>1264</c:v>
                </c:pt>
                <c:pt idx="1">
                  <c:v>1285</c:v>
                </c:pt>
                <c:pt idx="2">
                  <c:v>1245</c:v>
                </c:pt>
                <c:pt idx="3">
                  <c:v>1255</c:v>
                </c:pt>
                <c:pt idx="4">
                  <c:v>1274</c:v>
                </c:pt>
                <c:pt idx="5">
                  <c:v>1260</c:v>
                </c:pt>
                <c:pt idx="6">
                  <c:v>1274</c:v>
                </c:pt>
                <c:pt idx="7">
                  <c:v>1274</c:v>
                </c:pt>
                <c:pt idx="8">
                  <c:v>1271</c:v>
                </c:pt>
                <c:pt idx="9">
                  <c:v>1241</c:v>
                </c:pt>
                <c:pt idx="10">
                  <c:v>1262</c:v>
                </c:pt>
                <c:pt idx="11">
                  <c:v>1275</c:v>
                </c:pt>
              </c:numCache>
            </c:numRef>
          </c:val>
          <c:extLst>
            <c:ext xmlns:c16="http://schemas.microsoft.com/office/drawing/2014/chart" uri="{C3380CC4-5D6E-409C-BE32-E72D297353CC}">
              <c16:uniqueId val="{00000001-3A8E-45F3-B91E-6BF63B4DD8F2}"/>
            </c:ext>
          </c:extLst>
        </c:ser>
        <c:ser>
          <c:idx val="2"/>
          <c:order val="2"/>
          <c:tx>
            <c:strRef>
              <c:f>Weno!$O$1</c:f>
              <c:strCache>
                <c:ptCount val="1"/>
                <c:pt idx="0">
                  <c:v>P - ETa</c:v>
                </c:pt>
              </c:strCache>
            </c:strRef>
          </c:tx>
          <c:spPr>
            <a:solidFill>
              <a:srgbClr val="002060"/>
            </a:solidFill>
            <a:ln>
              <a:noFill/>
            </a:ln>
            <a:effectLst/>
          </c:spPr>
          <c:invertIfNegative val="0"/>
          <c:cat>
            <c:numRef>
              <c:f>Weno!$L$18:$L$29</c:f>
              <c:numCache>
                <c:formatCode>General</c:formatCode>
                <c:ptCount val="12"/>
                <c:pt idx="0">
                  <c:v>2013</c:v>
                </c:pt>
                <c:pt idx="1">
                  <c:v>2014</c:v>
                </c:pt>
                <c:pt idx="2">
                  <c:v>2015</c:v>
                </c:pt>
                <c:pt idx="3">
                  <c:v>2016</c:v>
                </c:pt>
                <c:pt idx="4">
                  <c:v>2017</c:v>
                </c:pt>
                <c:pt idx="5">
                  <c:v>2018</c:v>
                </c:pt>
                <c:pt idx="6">
                  <c:v>2019</c:v>
                </c:pt>
                <c:pt idx="7">
                  <c:v>2020</c:v>
                </c:pt>
                <c:pt idx="8">
                  <c:v>2021</c:v>
                </c:pt>
                <c:pt idx="9">
                  <c:v>2022</c:v>
                </c:pt>
                <c:pt idx="10">
                  <c:v>2023</c:v>
                </c:pt>
                <c:pt idx="11">
                  <c:v>2024</c:v>
                </c:pt>
              </c:numCache>
            </c:numRef>
          </c:cat>
          <c:val>
            <c:numRef>
              <c:f>Weno!$O$18:$O$29</c:f>
              <c:numCache>
                <c:formatCode>0</c:formatCode>
                <c:ptCount val="12"/>
                <c:pt idx="0">
                  <c:v>1512.517417345</c:v>
                </c:pt>
                <c:pt idx="1">
                  <c:v>1891.984930696</c:v>
                </c:pt>
                <c:pt idx="2">
                  <c:v>1567.7299165039999</c:v>
                </c:pt>
                <c:pt idx="3">
                  <c:v>1045.87243468</c:v>
                </c:pt>
                <c:pt idx="4">
                  <c:v>1345.2324456669999</c:v>
                </c:pt>
                <c:pt idx="5">
                  <c:v>1786.227376242</c:v>
                </c:pt>
                <c:pt idx="6">
                  <c:v>1845.2749080929998</c:v>
                </c:pt>
                <c:pt idx="7">
                  <c:v>1339.8249569049999</c:v>
                </c:pt>
                <c:pt idx="8">
                  <c:v>1990.4549025619999</c:v>
                </c:pt>
                <c:pt idx="9">
                  <c:v>1941.6324078309999</c:v>
                </c:pt>
                <c:pt idx="10">
                  <c:v>2580.1399164750001</c:v>
                </c:pt>
                <c:pt idx="11">
                  <c:v>1685.3199728330001</c:v>
                </c:pt>
              </c:numCache>
            </c:numRef>
          </c:val>
          <c:extLst>
            <c:ext xmlns:c16="http://schemas.microsoft.com/office/drawing/2014/chart" uri="{C3380CC4-5D6E-409C-BE32-E72D297353CC}">
              <c16:uniqueId val="{00000002-3A8E-45F3-B91E-6BF63B4DD8F2}"/>
            </c:ext>
          </c:extLst>
        </c:ser>
        <c:dLbls>
          <c:showLegendKey val="0"/>
          <c:showVal val="0"/>
          <c:showCatName val="0"/>
          <c:showSerName val="0"/>
          <c:showPercent val="0"/>
          <c:showBubbleSize val="0"/>
        </c:dLbls>
        <c:gapWidth val="150"/>
        <c:axId val="1822521504"/>
        <c:axId val="1822522944"/>
      </c:barChart>
      <c:catAx>
        <c:axId val="1822521504"/>
        <c:scaling>
          <c:orientation val="minMax"/>
        </c:scaling>
        <c:delete val="0"/>
        <c:axPos val="b"/>
        <c:title>
          <c:tx>
            <c:rich>
              <a:bodyPr rot="0" spcFirstLastPara="1" vertOverflow="ellipsis" vert="horz" wrap="square" anchor="ctr" anchorCtr="1"/>
              <a:lstStyle/>
              <a:p>
                <a:pPr>
                  <a:defRPr sz="1200" b="0" i="0" u="none" strike="noStrike" kern="1200" baseline="0">
                    <a:solidFill>
                      <a:schemeClr val="tx1">
                        <a:lumMod val="65000"/>
                        <a:lumOff val="35000"/>
                      </a:schemeClr>
                    </a:solidFill>
                    <a:latin typeface="Univers 57 Condensed" pitchFamily="50" charset="0"/>
                    <a:ea typeface="+mn-ea"/>
                    <a:cs typeface="+mn-cs"/>
                  </a:defRPr>
                </a:pPr>
                <a:r>
                  <a:rPr lang="en-US" sz="1200">
                    <a:latin typeface="Univers 57 Condensed" pitchFamily="50" charset="0"/>
                  </a:rPr>
                  <a:t>year</a:t>
                </a:r>
              </a:p>
            </c:rich>
          </c:tx>
          <c:overlay val="0"/>
          <c:spPr>
            <a:noFill/>
            <a:ln>
              <a:noFill/>
            </a:ln>
            <a:effectLst/>
          </c:spPr>
          <c:txPr>
            <a:bodyPr rot="0" spcFirstLastPara="1" vertOverflow="ellipsis" vert="horz" wrap="square" anchor="ctr" anchorCtr="1"/>
            <a:lstStyle/>
            <a:p>
              <a:pPr>
                <a:defRPr sz="1200" b="0" i="0" u="none" strike="noStrike" kern="1200" baseline="0">
                  <a:solidFill>
                    <a:schemeClr val="tx1">
                      <a:lumMod val="65000"/>
                      <a:lumOff val="35000"/>
                    </a:schemeClr>
                  </a:solidFill>
                  <a:latin typeface="Univers 57 Condensed" pitchFamily="50" charset="0"/>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200" b="0" i="0" u="none" strike="noStrike" kern="1200" baseline="0">
                <a:solidFill>
                  <a:schemeClr val="tx1"/>
                </a:solidFill>
                <a:latin typeface="Univers 57 Condensed" pitchFamily="50" charset="0"/>
                <a:ea typeface="+mn-ea"/>
                <a:cs typeface="+mn-cs"/>
              </a:defRPr>
            </a:pPr>
            <a:endParaRPr lang="en-US"/>
          </a:p>
        </c:txPr>
        <c:crossAx val="1822522944"/>
        <c:crosses val="autoZero"/>
        <c:auto val="1"/>
        <c:lblAlgn val="ctr"/>
        <c:lblOffset val="100"/>
        <c:noMultiLvlLbl val="0"/>
      </c:catAx>
      <c:valAx>
        <c:axId val="1822522944"/>
        <c:scaling>
          <c:orientation val="minMax"/>
        </c:scaling>
        <c:delete val="0"/>
        <c:axPos val="l"/>
        <c:majorGridlines>
          <c:spPr>
            <a:ln w="9525" cap="flat" cmpd="sng" algn="ctr">
              <a:solidFill>
                <a:schemeClr val="bg1">
                  <a:lumMod val="75000"/>
                </a:schemeClr>
              </a:solidFill>
              <a:round/>
            </a:ln>
            <a:effectLst/>
          </c:spPr>
        </c:majorGridlines>
        <c:title>
          <c:tx>
            <c:rich>
              <a:bodyPr rot="-5400000" spcFirstLastPara="1" vertOverflow="ellipsis" vert="horz" wrap="square" anchor="ctr" anchorCtr="1"/>
              <a:lstStyle/>
              <a:p>
                <a:pPr>
                  <a:defRPr sz="1200" b="0" i="0" u="none" strike="noStrike" kern="1200" baseline="0">
                    <a:solidFill>
                      <a:schemeClr val="tx1">
                        <a:lumMod val="65000"/>
                        <a:lumOff val="35000"/>
                      </a:schemeClr>
                    </a:solidFill>
                    <a:latin typeface="Univers 57 Condensed" pitchFamily="50" charset="0"/>
                    <a:ea typeface="+mn-ea"/>
                    <a:cs typeface="+mn-cs"/>
                  </a:defRPr>
                </a:pPr>
                <a:r>
                  <a:rPr lang="en-US" sz="1200">
                    <a:latin typeface="Univers 57 Condensed" pitchFamily="50" charset="0"/>
                  </a:rPr>
                  <a:t>Net annual water availability (mm)</a:t>
                </a:r>
              </a:p>
            </c:rich>
          </c:tx>
          <c:layout>
            <c:manualLayout>
              <c:xMode val="edge"/>
              <c:yMode val="edge"/>
              <c:x val="1.0248166094622788E-2"/>
              <c:y val="4.5750006811432306E-2"/>
            </c:manualLayout>
          </c:layout>
          <c:overlay val="0"/>
          <c:spPr>
            <a:noFill/>
            <a:ln>
              <a:noFill/>
            </a:ln>
            <a:effectLst/>
          </c:spPr>
          <c:txPr>
            <a:bodyPr rot="-5400000" spcFirstLastPara="1" vertOverflow="ellipsis" vert="horz" wrap="square" anchor="ctr" anchorCtr="1"/>
            <a:lstStyle/>
            <a:p>
              <a:pPr>
                <a:defRPr sz="1200" b="0" i="0" u="none" strike="noStrike" kern="1200" baseline="0">
                  <a:solidFill>
                    <a:schemeClr val="tx1">
                      <a:lumMod val="65000"/>
                      <a:lumOff val="35000"/>
                    </a:schemeClr>
                  </a:solidFill>
                  <a:latin typeface="Univers 57 Condensed" pitchFamily="50" charset="0"/>
                  <a:ea typeface="+mn-ea"/>
                  <a:cs typeface="+mn-cs"/>
                </a:defRPr>
              </a:pPr>
              <a:endParaRPr lang="en-US"/>
            </a:p>
          </c:txPr>
        </c:title>
        <c:numFmt formatCode="0" sourceLinked="0"/>
        <c:majorTickMark val="out"/>
        <c:minorTickMark val="none"/>
        <c:tickLblPos val="nextTo"/>
        <c:spPr>
          <a:noFill/>
          <a:ln>
            <a:noFill/>
          </a:ln>
          <a:effectLst/>
        </c:spPr>
        <c:txPr>
          <a:bodyPr rot="-60000000" spcFirstLastPara="1" vertOverflow="ellipsis" vert="horz" wrap="square" anchor="ctr" anchorCtr="1"/>
          <a:lstStyle/>
          <a:p>
            <a:pPr>
              <a:defRPr sz="1200" b="0" i="0" u="none" strike="noStrike" kern="1200" baseline="0">
                <a:solidFill>
                  <a:schemeClr val="tx1">
                    <a:lumMod val="65000"/>
                    <a:lumOff val="35000"/>
                  </a:schemeClr>
                </a:solidFill>
                <a:latin typeface="Univers 57 Condensed" pitchFamily="50" charset="0"/>
                <a:ea typeface="+mn-ea"/>
                <a:cs typeface="+mn-cs"/>
              </a:defRPr>
            </a:pPr>
            <a:endParaRPr lang="en-US"/>
          </a:p>
        </c:txPr>
        <c:crossAx val="1822521504"/>
        <c:crosses val="autoZero"/>
        <c:crossBetween val="between"/>
      </c:valAx>
      <c:spPr>
        <a:noFill/>
        <a:ln>
          <a:solidFill>
            <a:schemeClr val="bg1">
              <a:lumMod val="75000"/>
            </a:schemeClr>
          </a:solidFill>
        </a:ln>
        <a:effectLst/>
      </c:spPr>
    </c:plotArea>
    <c:legend>
      <c:legendPos val="r"/>
      <c:overlay val="0"/>
      <c:spPr>
        <a:noFill/>
        <a:ln>
          <a:noFill/>
        </a:ln>
        <a:effectLst/>
      </c:spPr>
      <c:txPr>
        <a:bodyPr rot="0" spcFirstLastPara="1" vertOverflow="ellipsis" vert="horz" wrap="square" anchor="ctr" anchorCtr="1"/>
        <a:lstStyle/>
        <a:p>
          <a:pPr>
            <a:defRPr sz="1600" b="0" i="0" u="none" strike="noStrike" kern="1200" baseline="0">
              <a:solidFill>
                <a:schemeClr val="tx1">
                  <a:lumMod val="65000"/>
                  <a:lumOff val="35000"/>
                </a:schemeClr>
              </a:solidFill>
              <a:latin typeface="Univers 57 Condensed" pitchFamily="50" charset="0"/>
              <a:ea typeface="+mn-ea"/>
              <a:cs typeface="+mn-cs"/>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a:pPr>
      <a:endParaRPr lang="en-US"/>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areaChart>
        <c:grouping val="standard"/>
        <c:varyColors val="0"/>
        <c:ser>
          <c:idx val="0"/>
          <c:order val="0"/>
          <c:tx>
            <c:strRef>
              <c:f>Kosrae!$I$1</c:f>
              <c:strCache>
                <c:ptCount val="1"/>
                <c:pt idx="0">
                  <c:v>IMERG</c:v>
                </c:pt>
              </c:strCache>
            </c:strRef>
          </c:tx>
          <c:spPr>
            <a:pattFill prst="ltDnDiag">
              <a:fgClr>
                <a:srgbClr val="002060"/>
              </a:fgClr>
              <a:bgClr>
                <a:schemeClr val="bg1"/>
              </a:bgClr>
            </a:pattFill>
            <a:ln>
              <a:noFill/>
            </a:ln>
            <a:effectLst/>
          </c:spPr>
          <c:val>
            <c:numRef>
              <c:f>Kosrae!$I$3:$I$14</c:f>
              <c:numCache>
                <c:formatCode>0.00</c:formatCode>
                <c:ptCount val="12"/>
                <c:pt idx="0">
                  <c:v>332.6085931881999</c:v>
                </c:pt>
                <c:pt idx="1">
                  <c:v>315.21415740163985</c:v>
                </c:pt>
                <c:pt idx="2">
                  <c:v>314.58329491181479</c:v>
                </c:pt>
                <c:pt idx="3">
                  <c:v>422.98248984977761</c:v>
                </c:pt>
                <c:pt idx="4">
                  <c:v>386.96261473340741</c:v>
                </c:pt>
                <c:pt idx="5">
                  <c:v>350.14607270733325</c:v>
                </c:pt>
                <c:pt idx="6">
                  <c:v>373.29440418566668</c:v>
                </c:pt>
                <c:pt idx="7">
                  <c:v>320.86598099207413</c:v>
                </c:pt>
                <c:pt idx="8">
                  <c:v>283.60665974081479</c:v>
                </c:pt>
                <c:pt idx="9">
                  <c:v>306.60323380044434</c:v>
                </c:pt>
                <c:pt idx="10">
                  <c:v>326.86107283188881</c:v>
                </c:pt>
                <c:pt idx="11">
                  <c:v>393.52539442207416</c:v>
                </c:pt>
              </c:numCache>
            </c:numRef>
          </c:val>
          <c:extLst>
            <c:ext xmlns:c16="http://schemas.microsoft.com/office/drawing/2014/chart" uri="{C3380CC4-5D6E-409C-BE32-E72D297353CC}">
              <c16:uniqueId val="{00000000-922B-41AE-A9B5-E9337819C4B3}"/>
            </c:ext>
          </c:extLst>
        </c:ser>
        <c:ser>
          <c:idx val="1"/>
          <c:order val="1"/>
          <c:tx>
            <c:strRef>
              <c:f>Kosrae!$J$1</c:f>
              <c:strCache>
                <c:ptCount val="1"/>
                <c:pt idx="0">
                  <c:v>SSEBop</c:v>
                </c:pt>
              </c:strCache>
            </c:strRef>
          </c:tx>
          <c:spPr>
            <a:solidFill>
              <a:schemeClr val="accent3">
                <a:lumMod val="75000"/>
              </a:schemeClr>
            </a:solidFill>
            <a:ln>
              <a:solidFill>
                <a:schemeClr val="accent3">
                  <a:lumMod val="75000"/>
                </a:schemeClr>
              </a:solidFill>
            </a:ln>
            <a:effectLst/>
          </c:spPr>
          <c:val>
            <c:numRef>
              <c:f>Kosrae!$J$3:$J$14</c:f>
              <c:numCache>
                <c:formatCode>0.00</c:formatCode>
                <c:ptCount val="12"/>
                <c:pt idx="0">
                  <c:v>90.37298850574706</c:v>
                </c:pt>
                <c:pt idx="1">
                  <c:v>93.876307313376202</c:v>
                </c:pt>
                <c:pt idx="2">
                  <c:v>102.07480106100761</c:v>
                </c:pt>
                <c:pt idx="3">
                  <c:v>100.11458885941607</c:v>
                </c:pt>
                <c:pt idx="4">
                  <c:v>96.500795755968056</c:v>
                </c:pt>
                <c:pt idx="5">
                  <c:v>98.146419098143028</c:v>
                </c:pt>
                <c:pt idx="6">
                  <c:v>98.966578249336578</c:v>
                </c:pt>
                <c:pt idx="7">
                  <c:v>105.05676392572899</c:v>
                </c:pt>
                <c:pt idx="8">
                  <c:v>103.40159151193596</c:v>
                </c:pt>
                <c:pt idx="9">
                  <c:v>107.67480106100749</c:v>
                </c:pt>
                <c:pt idx="10">
                  <c:v>96.596816976127158</c:v>
                </c:pt>
                <c:pt idx="11">
                  <c:v>93.596816976127286</c:v>
                </c:pt>
              </c:numCache>
            </c:numRef>
          </c:val>
          <c:extLst>
            <c:ext xmlns:c16="http://schemas.microsoft.com/office/drawing/2014/chart" uri="{C3380CC4-5D6E-409C-BE32-E72D297353CC}">
              <c16:uniqueId val="{00000001-922B-41AE-A9B5-E9337819C4B3}"/>
            </c:ext>
          </c:extLst>
        </c:ser>
        <c:dLbls>
          <c:showLegendKey val="0"/>
          <c:showVal val="0"/>
          <c:showCatName val="0"/>
          <c:showSerName val="0"/>
          <c:showPercent val="0"/>
          <c:showBubbleSize val="0"/>
        </c:dLbls>
        <c:axId val="750042767"/>
        <c:axId val="750044207"/>
      </c:areaChart>
      <c:catAx>
        <c:axId val="750042767"/>
        <c:scaling>
          <c:orientation val="minMax"/>
        </c:scaling>
        <c:delete val="0"/>
        <c:axPos val="b"/>
        <c:title>
          <c:tx>
            <c:rich>
              <a:bodyPr rot="0" spcFirstLastPara="1" vertOverflow="ellipsis" vert="horz" wrap="square" anchor="ctr" anchorCtr="1"/>
              <a:lstStyle/>
              <a:p>
                <a:pPr>
                  <a:defRPr sz="1200" b="0" i="0" u="none" strike="noStrike" kern="1200" baseline="0">
                    <a:solidFill>
                      <a:schemeClr val="tx1"/>
                    </a:solidFill>
                    <a:latin typeface="Univers 57 Condensed" pitchFamily="50" charset="0"/>
                    <a:ea typeface="+mn-ea"/>
                    <a:cs typeface="+mn-cs"/>
                  </a:defRPr>
                </a:pPr>
                <a:r>
                  <a:rPr lang="en-US" sz="1200">
                    <a:solidFill>
                      <a:schemeClr val="tx1"/>
                    </a:solidFill>
                    <a:latin typeface="Univers 57 Condensed" pitchFamily="50" charset="0"/>
                  </a:rPr>
                  <a:t>month</a:t>
                </a:r>
              </a:p>
            </c:rich>
          </c:tx>
          <c:overlay val="0"/>
          <c:spPr>
            <a:noFill/>
            <a:ln>
              <a:noFill/>
            </a:ln>
            <a:effectLst/>
          </c:spPr>
          <c:txPr>
            <a:bodyPr rot="0" spcFirstLastPara="1" vertOverflow="ellipsis" vert="horz" wrap="square" anchor="ctr" anchorCtr="1"/>
            <a:lstStyle/>
            <a:p>
              <a:pPr>
                <a:defRPr sz="1200" b="0" i="0" u="none" strike="noStrike" kern="1200" baseline="0">
                  <a:solidFill>
                    <a:schemeClr val="tx1"/>
                  </a:solidFill>
                  <a:latin typeface="Univers 57 Condensed" pitchFamily="50" charset="0"/>
                  <a:ea typeface="+mn-ea"/>
                  <a:cs typeface="+mn-cs"/>
                </a:defRPr>
              </a:pPr>
              <a:endParaRPr lang="en-US"/>
            </a:p>
          </c:txPr>
        </c:title>
        <c:majorTickMark val="out"/>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200" b="0" i="0" u="none" strike="noStrike" kern="1200" baseline="0">
                <a:solidFill>
                  <a:schemeClr val="tx1"/>
                </a:solidFill>
                <a:latin typeface="Univers 57 Condensed" pitchFamily="50" charset="0"/>
                <a:ea typeface="+mn-ea"/>
                <a:cs typeface="+mn-cs"/>
              </a:defRPr>
            </a:pPr>
            <a:endParaRPr lang="en-US"/>
          </a:p>
        </c:txPr>
        <c:crossAx val="750044207"/>
        <c:crosses val="autoZero"/>
        <c:auto val="1"/>
        <c:lblAlgn val="ctr"/>
        <c:lblOffset val="100"/>
        <c:noMultiLvlLbl val="0"/>
      </c:catAx>
      <c:valAx>
        <c:axId val="750044207"/>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200" b="0" i="0" u="none" strike="noStrike" kern="1200" baseline="0">
                    <a:solidFill>
                      <a:schemeClr val="tx1"/>
                    </a:solidFill>
                    <a:latin typeface="Univers 57 Condensed" pitchFamily="50" charset="0"/>
                    <a:ea typeface="+mn-ea"/>
                    <a:cs typeface="+mn-cs"/>
                  </a:defRPr>
                </a:pPr>
                <a:r>
                  <a:rPr lang="en-US" sz="1200">
                    <a:solidFill>
                      <a:schemeClr val="tx1"/>
                    </a:solidFill>
                    <a:latin typeface="Univers 57 Condensed" pitchFamily="50" charset="0"/>
                  </a:rPr>
                  <a:t>ETa (mm)            P (mm)</a:t>
                </a:r>
              </a:p>
            </c:rich>
          </c:tx>
          <c:layout>
            <c:manualLayout>
              <c:xMode val="edge"/>
              <c:yMode val="edge"/>
              <c:x val="1.3547681539807524E-2"/>
              <c:y val="0.25808646917534028"/>
            </c:manualLayout>
          </c:layout>
          <c:overlay val="0"/>
          <c:spPr>
            <a:noFill/>
            <a:ln>
              <a:noFill/>
            </a:ln>
            <a:effectLst/>
          </c:spPr>
          <c:txPr>
            <a:bodyPr rot="-5400000" spcFirstLastPara="1" vertOverflow="ellipsis" vert="horz" wrap="square" anchor="ctr" anchorCtr="1"/>
            <a:lstStyle/>
            <a:p>
              <a:pPr>
                <a:defRPr sz="1200" b="0" i="0" u="none" strike="noStrike" kern="1200" baseline="0">
                  <a:solidFill>
                    <a:schemeClr val="tx1"/>
                  </a:solidFill>
                  <a:latin typeface="Univers 57 Condensed" pitchFamily="50" charset="0"/>
                  <a:ea typeface="+mn-ea"/>
                  <a:cs typeface="+mn-cs"/>
                </a:defRPr>
              </a:pPr>
              <a:endParaRPr lang="en-US"/>
            </a:p>
          </c:txPr>
        </c:title>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1200" b="0" i="0" u="none" strike="noStrike" kern="1200" baseline="0">
                <a:solidFill>
                  <a:schemeClr val="tx1"/>
                </a:solidFill>
                <a:latin typeface="Univers 57 Condensed" pitchFamily="50" charset="0"/>
                <a:ea typeface="+mn-ea"/>
                <a:cs typeface="+mn-cs"/>
              </a:defRPr>
            </a:pPr>
            <a:endParaRPr lang="en-US"/>
          </a:p>
        </c:txPr>
        <c:crossAx val="750042767"/>
        <c:crosses val="autoZero"/>
        <c:crossBetween val="midCat"/>
      </c:valAx>
      <c:spPr>
        <a:noFill/>
        <a:ln>
          <a:solidFill>
            <a:schemeClr val="bg1">
              <a:lumMod val="75000"/>
            </a:schemeClr>
          </a:solid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a:pPr>
      <a:endParaRPr lang="en-US"/>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spPr>
            <a:solidFill>
              <a:schemeClr val="accent3">
                <a:lumMod val="75000"/>
              </a:schemeClr>
            </a:solidFill>
            <a:ln w="9525" cap="flat" cmpd="sng" algn="ctr">
              <a:solidFill>
                <a:schemeClr val="bg1"/>
              </a:solidFill>
              <a:round/>
            </a:ln>
            <a:effectLst/>
          </c:spPr>
          <c:invertIfNegative val="0"/>
          <c:dLbls>
            <c:delete val="1"/>
          </c:dLbls>
          <c:cat>
            <c:numRef>
              <c:f>Kosrae!$L$18:$L$30</c:f>
              <c:numCache>
                <c:formatCode>General</c:formatCode>
                <c:ptCount val="13"/>
                <c:pt idx="0">
                  <c:v>2013</c:v>
                </c:pt>
                <c:pt idx="1">
                  <c:v>2014</c:v>
                </c:pt>
                <c:pt idx="2">
                  <c:v>2015</c:v>
                </c:pt>
                <c:pt idx="3">
                  <c:v>2016</c:v>
                </c:pt>
                <c:pt idx="4">
                  <c:v>2017</c:v>
                </c:pt>
                <c:pt idx="5">
                  <c:v>2018</c:v>
                </c:pt>
                <c:pt idx="6">
                  <c:v>2019</c:v>
                </c:pt>
                <c:pt idx="7">
                  <c:v>2020</c:v>
                </c:pt>
                <c:pt idx="8">
                  <c:v>2021</c:v>
                </c:pt>
                <c:pt idx="9">
                  <c:v>2022</c:v>
                </c:pt>
                <c:pt idx="10">
                  <c:v>2023</c:v>
                </c:pt>
                <c:pt idx="11">
                  <c:v>2024</c:v>
                </c:pt>
                <c:pt idx="12">
                  <c:v>2025</c:v>
                </c:pt>
              </c:numCache>
            </c:numRef>
          </c:cat>
          <c:val>
            <c:numRef>
              <c:f>Kosrae!$N$18:$N$30</c:f>
              <c:numCache>
                <c:formatCode>General</c:formatCode>
                <c:ptCount val="13"/>
                <c:pt idx="0">
                  <c:v>1183</c:v>
                </c:pt>
                <c:pt idx="1">
                  <c:v>1193</c:v>
                </c:pt>
                <c:pt idx="2">
                  <c:v>1197</c:v>
                </c:pt>
                <c:pt idx="3">
                  <c:v>1199</c:v>
                </c:pt>
                <c:pt idx="4">
                  <c:v>1201</c:v>
                </c:pt>
                <c:pt idx="5">
                  <c:v>1197</c:v>
                </c:pt>
                <c:pt idx="6">
                  <c:v>1140</c:v>
                </c:pt>
                <c:pt idx="7">
                  <c:v>1175</c:v>
                </c:pt>
                <c:pt idx="8">
                  <c:v>1139</c:v>
                </c:pt>
                <c:pt idx="9">
                  <c:v>1137</c:v>
                </c:pt>
                <c:pt idx="10">
                  <c:v>1175</c:v>
                </c:pt>
                <c:pt idx="11">
                  <c:v>1233</c:v>
                </c:pt>
                <c:pt idx="12">
                  <c:v>1245</c:v>
                </c:pt>
              </c:numCache>
            </c:numRef>
          </c:val>
          <c:extLst>
            <c:ext xmlns:c16="http://schemas.microsoft.com/office/drawing/2014/chart" uri="{C3380CC4-5D6E-409C-BE32-E72D297353CC}">
              <c16:uniqueId val="{00000000-5CFE-4E9C-A53E-B50A3EC5EBA3}"/>
            </c:ext>
          </c:extLst>
        </c:ser>
        <c:dLbls>
          <c:dLblPos val="inEnd"/>
          <c:showLegendKey val="0"/>
          <c:showVal val="1"/>
          <c:showCatName val="0"/>
          <c:showSerName val="0"/>
          <c:showPercent val="0"/>
          <c:showBubbleSize val="0"/>
        </c:dLbls>
        <c:gapWidth val="0"/>
        <c:axId val="2020192800"/>
        <c:axId val="2020199520"/>
      </c:barChart>
      <c:catAx>
        <c:axId val="2020192800"/>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dk1">
                        <a:lumMod val="75000"/>
                        <a:lumOff val="25000"/>
                      </a:schemeClr>
                    </a:solidFill>
                    <a:latin typeface="+mn-lt"/>
                    <a:ea typeface="+mn-ea"/>
                    <a:cs typeface="+mn-cs"/>
                  </a:defRPr>
                </a:pPr>
                <a:r>
                  <a:rPr lang="en-US"/>
                  <a:t>year</a:t>
                </a:r>
              </a:p>
            </c:rich>
          </c:tx>
          <c:overlay val="0"/>
          <c:spPr>
            <a:noFill/>
            <a:ln>
              <a:noFill/>
            </a:ln>
            <a:effectLst/>
          </c:spPr>
          <c:txPr>
            <a:bodyPr rot="0" spcFirstLastPara="1" vertOverflow="ellipsis" vert="horz" wrap="square" anchor="ctr" anchorCtr="1"/>
            <a:lstStyle/>
            <a:p>
              <a:pPr>
                <a:defRPr sz="900" b="1" i="0" u="none" strike="noStrike" kern="1200" baseline="0">
                  <a:solidFill>
                    <a:schemeClr val="dk1">
                      <a:lumMod val="75000"/>
                      <a:lumOff val="25000"/>
                    </a:schemeClr>
                  </a:solidFill>
                  <a:latin typeface="+mn-lt"/>
                  <a:ea typeface="+mn-ea"/>
                  <a:cs typeface="+mn-cs"/>
                </a:defRPr>
              </a:pPr>
              <a:endParaRPr lang="en-US"/>
            </a:p>
          </c:txPr>
        </c:title>
        <c:numFmt formatCode="General" sourceLinked="1"/>
        <c:majorTickMark val="none"/>
        <c:minorTickMark val="none"/>
        <c:tickLblPos val="nextTo"/>
        <c:spPr>
          <a:noFill/>
          <a:ln w="19050" cap="flat" cmpd="sng" algn="ctr">
            <a:solidFill>
              <a:schemeClr val="dk1">
                <a:lumMod val="75000"/>
                <a:lumOff val="25000"/>
              </a:schemeClr>
            </a:solidFill>
            <a:round/>
          </a:ln>
          <a:effectLst/>
        </c:spPr>
        <c:txPr>
          <a:bodyPr rot="-60000000" spcFirstLastPara="1" vertOverflow="ellipsis" vert="horz" wrap="square" anchor="ctr" anchorCtr="1"/>
          <a:lstStyle/>
          <a:p>
            <a:pPr>
              <a:defRPr sz="1200" b="0" i="0" u="none" strike="noStrike" kern="1200" cap="all" baseline="0">
                <a:solidFill>
                  <a:schemeClr val="tx1"/>
                </a:solidFill>
                <a:latin typeface="Univers 57 Condensed" pitchFamily="50" charset="0"/>
                <a:ea typeface="+mn-ea"/>
                <a:cs typeface="+mn-cs"/>
              </a:defRPr>
            </a:pPr>
            <a:endParaRPr lang="en-US"/>
          </a:p>
        </c:txPr>
        <c:crossAx val="2020199520"/>
        <c:crosses val="autoZero"/>
        <c:auto val="1"/>
        <c:lblAlgn val="ctr"/>
        <c:lblOffset val="100"/>
        <c:noMultiLvlLbl val="0"/>
      </c:catAx>
      <c:valAx>
        <c:axId val="2020199520"/>
        <c:scaling>
          <c:orientation val="minMax"/>
          <c:max val="1300"/>
          <c:min val="1000"/>
        </c:scaling>
        <c:delete val="0"/>
        <c:axPos val="l"/>
        <c:majorGridlines>
          <c:spPr>
            <a:ln w="9525" cap="flat" cmpd="sng" algn="ctr">
              <a:gradFill>
                <a:gsLst>
                  <a:gs pos="100000">
                    <a:schemeClr val="dk1">
                      <a:lumMod val="95000"/>
                      <a:lumOff val="5000"/>
                      <a:alpha val="42000"/>
                    </a:schemeClr>
                  </a:gs>
                  <a:gs pos="0">
                    <a:schemeClr val="lt1">
                      <a:lumMod val="75000"/>
                      <a:alpha val="36000"/>
                    </a:schemeClr>
                  </a:gs>
                </a:gsLst>
                <a:lin ang="5400000" scaled="0"/>
              </a:gradFill>
              <a:round/>
            </a:ln>
            <a:effectLst/>
          </c:spPr>
        </c:majorGridlines>
        <c:title>
          <c:tx>
            <c:rich>
              <a:bodyPr rot="-5400000" spcFirstLastPara="1" vertOverflow="ellipsis" vert="horz" wrap="square" anchor="ctr" anchorCtr="1"/>
              <a:lstStyle/>
              <a:p>
                <a:pPr>
                  <a:defRPr sz="1200" b="1" i="0" u="none" strike="noStrike" kern="1200" baseline="0">
                    <a:solidFill>
                      <a:schemeClr val="tx1"/>
                    </a:solidFill>
                    <a:latin typeface="Univers 57 Condensed" pitchFamily="50" charset="0"/>
                    <a:ea typeface="+mn-ea"/>
                    <a:cs typeface="+mn-cs"/>
                  </a:defRPr>
                </a:pPr>
                <a:r>
                  <a:rPr lang="en-US" sz="1200">
                    <a:solidFill>
                      <a:schemeClr val="tx1"/>
                    </a:solidFill>
                    <a:latin typeface="Univers 57 Condensed" pitchFamily="50" charset="0"/>
                  </a:rPr>
                  <a:t>ETa</a:t>
                </a:r>
                <a:r>
                  <a:rPr lang="en-US" sz="1200" baseline="0">
                    <a:solidFill>
                      <a:schemeClr val="tx1"/>
                    </a:solidFill>
                    <a:latin typeface="Univers 57 Condensed" pitchFamily="50" charset="0"/>
                  </a:rPr>
                  <a:t> </a:t>
                </a:r>
                <a:r>
                  <a:rPr lang="en-US" sz="1200">
                    <a:solidFill>
                      <a:schemeClr val="tx1"/>
                    </a:solidFill>
                    <a:latin typeface="Univers 57 Condensed" pitchFamily="50" charset="0"/>
                  </a:rPr>
                  <a:t>(mm)</a:t>
                </a:r>
              </a:p>
            </c:rich>
          </c:tx>
          <c:overlay val="0"/>
          <c:spPr>
            <a:noFill/>
            <a:ln>
              <a:noFill/>
            </a:ln>
            <a:effectLst/>
          </c:spPr>
          <c:txPr>
            <a:bodyPr rot="-5400000" spcFirstLastPara="1" vertOverflow="ellipsis" vert="horz" wrap="square" anchor="ctr" anchorCtr="1"/>
            <a:lstStyle/>
            <a:p>
              <a:pPr>
                <a:defRPr sz="1200" b="1" i="0" u="none" strike="noStrike" kern="1200" baseline="0">
                  <a:solidFill>
                    <a:schemeClr val="tx1"/>
                  </a:solidFill>
                  <a:latin typeface="Univers 57 Condensed" pitchFamily="50" charset="0"/>
                  <a:ea typeface="+mn-ea"/>
                  <a:cs typeface="+mn-cs"/>
                </a:defRPr>
              </a:pPr>
              <a:endParaRPr lang="en-US"/>
            </a:p>
          </c:txPr>
        </c:title>
        <c:numFmt formatCode="General" sourceLinked="1"/>
        <c:majorTickMark val="out"/>
        <c:minorTickMark val="none"/>
        <c:tickLblPos val="nextTo"/>
        <c:spPr>
          <a:noFill/>
          <a:ln>
            <a:noFill/>
          </a:ln>
          <a:effectLst/>
        </c:spPr>
        <c:txPr>
          <a:bodyPr rot="-60000000" spcFirstLastPara="1" vertOverflow="ellipsis" vert="horz" wrap="square" anchor="ctr" anchorCtr="1"/>
          <a:lstStyle/>
          <a:p>
            <a:pPr>
              <a:defRPr sz="1200" b="0" i="0" u="none" strike="noStrike" kern="1200" baseline="0">
                <a:solidFill>
                  <a:schemeClr val="tx1"/>
                </a:solidFill>
                <a:latin typeface="Univers 57 Condensed" pitchFamily="50" charset="0"/>
                <a:ea typeface="+mn-ea"/>
                <a:cs typeface="+mn-cs"/>
              </a:defRPr>
            </a:pPr>
            <a:endParaRPr lang="en-US"/>
          </a:p>
        </c:txPr>
        <c:crossAx val="2020192800"/>
        <c:crosses val="autoZero"/>
        <c:crossBetween val="between"/>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a:pPr>
      <a:endParaRPr lang="en-US"/>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spPr>
            <a:solidFill>
              <a:schemeClr val="accent1">
                <a:lumMod val="75000"/>
              </a:schemeClr>
            </a:solidFill>
            <a:ln>
              <a:noFill/>
            </a:ln>
            <a:effectLst/>
          </c:spPr>
          <c:invertIfNegative val="0"/>
          <c:cat>
            <c:strRef>
              <c:f>Kosrae!$A$172:$A$335</c:f>
              <c:strCache>
                <c:ptCount val="164"/>
                <c:pt idx="0">
                  <c:v>2012-02</c:v>
                </c:pt>
                <c:pt idx="1">
                  <c:v>2012-03</c:v>
                </c:pt>
                <c:pt idx="2">
                  <c:v>2012-04</c:v>
                </c:pt>
                <c:pt idx="3">
                  <c:v>2012-05</c:v>
                </c:pt>
                <c:pt idx="4">
                  <c:v>2012-06</c:v>
                </c:pt>
                <c:pt idx="5">
                  <c:v>2012-07</c:v>
                </c:pt>
                <c:pt idx="6">
                  <c:v>2012-08</c:v>
                </c:pt>
                <c:pt idx="7">
                  <c:v>2012-09</c:v>
                </c:pt>
                <c:pt idx="8">
                  <c:v>2012-10</c:v>
                </c:pt>
                <c:pt idx="9">
                  <c:v>2012-11</c:v>
                </c:pt>
                <c:pt idx="10">
                  <c:v>2012-12</c:v>
                </c:pt>
                <c:pt idx="11">
                  <c:v>2013-01</c:v>
                </c:pt>
                <c:pt idx="12">
                  <c:v>2013-02</c:v>
                </c:pt>
                <c:pt idx="13">
                  <c:v>2013-03</c:v>
                </c:pt>
                <c:pt idx="14">
                  <c:v>2013-04</c:v>
                </c:pt>
                <c:pt idx="15">
                  <c:v>2013-05</c:v>
                </c:pt>
                <c:pt idx="16">
                  <c:v>2013-06</c:v>
                </c:pt>
                <c:pt idx="17">
                  <c:v>2013-07</c:v>
                </c:pt>
                <c:pt idx="18">
                  <c:v>2013-08</c:v>
                </c:pt>
                <c:pt idx="19">
                  <c:v>2013-09</c:v>
                </c:pt>
                <c:pt idx="20">
                  <c:v>2013-10</c:v>
                </c:pt>
                <c:pt idx="21">
                  <c:v>2013-11</c:v>
                </c:pt>
                <c:pt idx="22">
                  <c:v>2013-12</c:v>
                </c:pt>
                <c:pt idx="23">
                  <c:v>2014-01</c:v>
                </c:pt>
                <c:pt idx="24">
                  <c:v>2014-02</c:v>
                </c:pt>
                <c:pt idx="25">
                  <c:v>2014-03</c:v>
                </c:pt>
                <c:pt idx="26">
                  <c:v>2014-04</c:v>
                </c:pt>
                <c:pt idx="27">
                  <c:v>2014-05</c:v>
                </c:pt>
                <c:pt idx="28">
                  <c:v>2014-06</c:v>
                </c:pt>
                <c:pt idx="29">
                  <c:v>2014-07</c:v>
                </c:pt>
                <c:pt idx="30">
                  <c:v>2014-08</c:v>
                </c:pt>
                <c:pt idx="31">
                  <c:v>2014-09</c:v>
                </c:pt>
                <c:pt idx="32">
                  <c:v>2014-10</c:v>
                </c:pt>
                <c:pt idx="33">
                  <c:v>2014-11</c:v>
                </c:pt>
                <c:pt idx="34">
                  <c:v>2014-12</c:v>
                </c:pt>
                <c:pt idx="35">
                  <c:v>2015-01</c:v>
                </c:pt>
                <c:pt idx="36">
                  <c:v>2015-02</c:v>
                </c:pt>
                <c:pt idx="37">
                  <c:v>2015-03</c:v>
                </c:pt>
                <c:pt idx="38">
                  <c:v>2015-04</c:v>
                </c:pt>
                <c:pt idx="39">
                  <c:v>2015-05</c:v>
                </c:pt>
                <c:pt idx="40">
                  <c:v>2015-06</c:v>
                </c:pt>
                <c:pt idx="41">
                  <c:v>2015-07</c:v>
                </c:pt>
                <c:pt idx="42">
                  <c:v>2015-08</c:v>
                </c:pt>
                <c:pt idx="43">
                  <c:v>2015-09</c:v>
                </c:pt>
                <c:pt idx="44">
                  <c:v>2015-10</c:v>
                </c:pt>
                <c:pt idx="45">
                  <c:v>2015-11</c:v>
                </c:pt>
                <c:pt idx="46">
                  <c:v>2015-12</c:v>
                </c:pt>
                <c:pt idx="47">
                  <c:v>2016-01</c:v>
                </c:pt>
                <c:pt idx="48">
                  <c:v>2016-02</c:v>
                </c:pt>
                <c:pt idx="49">
                  <c:v>2016-03</c:v>
                </c:pt>
                <c:pt idx="50">
                  <c:v>2016-04</c:v>
                </c:pt>
                <c:pt idx="51">
                  <c:v>2016-05</c:v>
                </c:pt>
                <c:pt idx="52">
                  <c:v>2016-06</c:v>
                </c:pt>
                <c:pt idx="53">
                  <c:v>2016-07</c:v>
                </c:pt>
                <c:pt idx="54">
                  <c:v>2016-08</c:v>
                </c:pt>
                <c:pt idx="55">
                  <c:v>2016-09</c:v>
                </c:pt>
                <c:pt idx="56">
                  <c:v>2016-10</c:v>
                </c:pt>
                <c:pt idx="57">
                  <c:v>2016-11</c:v>
                </c:pt>
                <c:pt idx="58">
                  <c:v>2016-12</c:v>
                </c:pt>
                <c:pt idx="59">
                  <c:v>2017-01</c:v>
                </c:pt>
                <c:pt idx="60">
                  <c:v>2017-02</c:v>
                </c:pt>
                <c:pt idx="61">
                  <c:v>2017-03</c:v>
                </c:pt>
                <c:pt idx="62">
                  <c:v>2017-04</c:v>
                </c:pt>
                <c:pt idx="63">
                  <c:v>2017-05</c:v>
                </c:pt>
                <c:pt idx="64">
                  <c:v>2017-06</c:v>
                </c:pt>
                <c:pt idx="65">
                  <c:v>2017-07</c:v>
                </c:pt>
                <c:pt idx="66">
                  <c:v>2017-08</c:v>
                </c:pt>
                <c:pt idx="67">
                  <c:v>2017-09</c:v>
                </c:pt>
                <c:pt idx="68">
                  <c:v>2017-10</c:v>
                </c:pt>
                <c:pt idx="69">
                  <c:v>2017-11</c:v>
                </c:pt>
                <c:pt idx="70">
                  <c:v>2017-12</c:v>
                </c:pt>
                <c:pt idx="71">
                  <c:v>2018-01</c:v>
                </c:pt>
                <c:pt idx="72">
                  <c:v>2018-02</c:v>
                </c:pt>
                <c:pt idx="73">
                  <c:v>2018-03</c:v>
                </c:pt>
                <c:pt idx="74">
                  <c:v>2018-04</c:v>
                </c:pt>
                <c:pt idx="75">
                  <c:v>2018-05</c:v>
                </c:pt>
                <c:pt idx="76">
                  <c:v>2018-06</c:v>
                </c:pt>
                <c:pt idx="77">
                  <c:v>2018-07</c:v>
                </c:pt>
                <c:pt idx="78">
                  <c:v>2018-08</c:v>
                </c:pt>
                <c:pt idx="79">
                  <c:v>2018-09</c:v>
                </c:pt>
                <c:pt idx="80">
                  <c:v>2018-10</c:v>
                </c:pt>
                <c:pt idx="81">
                  <c:v>2018-11</c:v>
                </c:pt>
                <c:pt idx="82">
                  <c:v>2018-12</c:v>
                </c:pt>
                <c:pt idx="83">
                  <c:v>2019-01</c:v>
                </c:pt>
                <c:pt idx="84">
                  <c:v>2019-02</c:v>
                </c:pt>
                <c:pt idx="85">
                  <c:v>2019-03</c:v>
                </c:pt>
                <c:pt idx="86">
                  <c:v>2019-04</c:v>
                </c:pt>
                <c:pt idx="87">
                  <c:v>2019-05</c:v>
                </c:pt>
                <c:pt idx="88">
                  <c:v>2019-06</c:v>
                </c:pt>
                <c:pt idx="89">
                  <c:v>2019-07</c:v>
                </c:pt>
                <c:pt idx="90">
                  <c:v>2019-08</c:v>
                </c:pt>
                <c:pt idx="91">
                  <c:v>2019-09</c:v>
                </c:pt>
                <c:pt idx="92">
                  <c:v>2019-10</c:v>
                </c:pt>
                <c:pt idx="93">
                  <c:v>2019-11</c:v>
                </c:pt>
                <c:pt idx="94">
                  <c:v>2019-12</c:v>
                </c:pt>
                <c:pt idx="95">
                  <c:v>2020-01</c:v>
                </c:pt>
                <c:pt idx="96">
                  <c:v>2020-02</c:v>
                </c:pt>
                <c:pt idx="97">
                  <c:v>2020-03</c:v>
                </c:pt>
                <c:pt idx="98">
                  <c:v>2020-04</c:v>
                </c:pt>
                <c:pt idx="99">
                  <c:v>2020-05</c:v>
                </c:pt>
                <c:pt idx="100">
                  <c:v>2020-06</c:v>
                </c:pt>
                <c:pt idx="101">
                  <c:v>2020-07</c:v>
                </c:pt>
                <c:pt idx="102">
                  <c:v>2020-08</c:v>
                </c:pt>
                <c:pt idx="103">
                  <c:v>2020-09</c:v>
                </c:pt>
                <c:pt idx="104">
                  <c:v>2020-10</c:v>
                </c:pt>
                <c:pt idx="105">
                  <c:v>2020-11</c:v>
                </c:pt>
                <c:pt idx="106">
                  <c:v>2020-12</c:v>
                </c:pt>
                <c:pt idx="107">
                  <c:v>2021-01</c:v>
                </c:pt>
                <c:pt idx="108">
                  <c:v>2021-02</c:v>
                </c:pt>
                <c:pt idx="109">
                  <c:v>2021-03</c:v>
                </c:pt>
                <c:pt idx="110">
                  <c:v>2021-04</c:v>
                </c:pt>
                <c:pt idx="111">
                  <c:v>2021-05</c:v>
                </c:pt>
                <c:pt idx="112">
                  <c:v>2021-06</c:v>
                </c:pt>
                <c:pt idx="113">
                  <c:v>2021-07</c:v>
                </c:pt>
                <c:pt idx="114">
                  <c:v>2021-08</c:v>
                </c:pt>
                <c:pt idx="115">
                  <c:v>2021-09</c:v>
                </c:pt>
                <c:pt idx="116">
                  <c:v>2021-10</c:v>
                </c:pt>
                <c:pt idx="117">
                  <c:v>2021-11</c:v>
                </c:pt>
                <c:pt idx="118">
                  <c:v>2021-12</c:v>
                </c:pt>
                <c:pt idx="119">
                  <c:v>2022-01</c:v>
                </c:pt>
                <c:pt idx="120">
                  <c:v>2022-02</c:v>
                </c:pt>
                <c:pt idx="121">
                  <c:v>2022-03</c:v>
                </c:pt>
                <c:pt idx="122">
                  <c:v>2022-04</c:v>
                </c:pt>
                <c:pt idx="123">
                  <c:v>2022-05</c:v>
                </c:pt>
                <c:pt idx="124">
                  <c:v>2022-06</c:v>
                </c:pt>
                <c:pt idx="125">
                  <c:v>2022-07</c:v>
                </c:pt>
                <c:pt idx="126">
                  <c:v>2022-08</c:v>
                </c:pt>
                <c:pt idx="127">
                  <c:v>2022-09</c:v>
                </c:pt>
                <c:pt idx="128">
                  <c:v>2022-10</c:v>
                </c:pt>
                <c:pt idx="129">
                  <c:v>2022-11</c:v>
                </c:pt>
                <c:pt idx="130">
                  <c:v>2022-12</c:v>
                </c:pt>
                <c:pt idx="131">
                  <c:v>2023-01</c:v>
                </c:pt>
                <c:pt idx="132">
                  <c:v>2023-02</c:v>
                </c:pt>
                <c:pt idx="133">
                  <c:v>2023-03</c:v>
                </c:pt>
                <c:pt idx="134">
                  <c:v>2023-04</c:v>
                </c:pt>
                <c:pt idx="135">
                  <c:v>2023-05</c:v>
                </c:pt>
                <c:pt idx="136">
                  <c:v>2023-06</c:v>
                </c:pt>
                <c:pt idx="137">
                  <c:v>2023-07</c:v>
                </c:pt>
                <c:pt idx="138">
                  <c:v>2023-08</c:v>
                </c:pt>
                <c:pt idx="139">
                  <c:v>2023-09</c:v>
                </c:pt>
                <c:pt idx="140">
                  <c:v>2023-10</c:v>
                </c:pt>
                <c:pt idx="141">
                  <c:v>2023-11</c:v>
                </c:pt>
                <c:pt idx="142">
                  <c:v>2023-12</c:v>
                </c:pt>
                <c:pt idx="143">
                  <c:v>2024-01</c:v>
                </c:pt>
                <c:pt idx="144">
                  <c:v>2024-02</c:v>
                </c:pt>
                <c:pt idx="145">
                  <c:v>2024-03</c:v>
                </c:pt>
                <c:pt idx="146">
                  <c:v>2024-04</c:v>
                </c:pt>
                <c:pt idx="147">
                  <c:v>2024-05</c:v>
                </c:pt>
                <c:pt idx="148">
                  <c:v>2024-06</c:v>
                </c:pt>
                <c:pt idx="149">
                  <c:v>2024-07</c:v>
                </c:pt>
                <c:pt idx="150">
                  <c:v>2024-08</c:v>
                </c:pt>
                <c:pt idx="151">
                  <c:v>2024-09</c:v>
                </c:pt>
                <c:pt idx="152">
                  <c:v>2024-10</c:v>
                </c:pt>
                <c:pt idx="153">
                  <c:v>2024-11</c:v>
                </c:pt>
                <c:pt idx="154">
                  <c:v>2024-12</c:v>
                </c:pt>
                <c:pt idx="155">
                  <c:v>2025-01</c:v>
                </c:pt>
                <c:pt idx="156">
                  <c:v>2025-02</c:v>
                </c:pt>
                <c:pt idx="157">
                  <c:v>2025-03</c:v>
                </c:pt>
                <c:pt idx="158">
                  <c:v>2025-04</c:v>
                </c:pt>
                <c:pt idx="159">
                  <c:v>2025-05</c:v>
                </c:pt>
                <c:pt idx="160">
                  <c:v>2025-06</c:v>
                </c:pt>
                <c:pt idx="161">
                  <c:v>2025-07</c:v>
                </c:pt>
                <c:pt idx="162">
                  <c:v>2025-08</c:v>
                </c:pt>
                <c:pt idx="163">
                  <c:v>2025-09</c:v>
                </c:pt>
              </c:strCache>
            </c:strRef>
          </c:cat>
          <c:val>
            <c:numRef>
              <c:f>Kosrae!$F$172:$F$335</c:f>
              <c:numCache>
                <c:formatCode>0.00</c:formatCode>
                <c:ptCount val="164"/>
                <c:pt idx="0">
                  <c:v>318.95180460782763</c:v>
                </c:pt>
                <c:pt idx="1">
                  <c:v>130.24318607317301</c:v>
                </c:pt>
                <c:pt idx="2">
                  <c:v>147.81878964144727</c:v>
                </c:pt>
                <c:pt idx="3">
                  <c:v>195.73047788641378</c:v>
                </c:pt>
                <c:pt idx="4">
                  <c:v>298.2093725717242</c:v>
                </c:pt>
                <c:pt idx="5">
                  <c:v>338.95869210355181</c:v>
                </c:pt>
                <c:pt idx="6">
                  <c:v>312.14532868358697</c:v>
                </c:pt>
                <c:pt idx="7">
                  <c:v>252.95594018686211</c:v>
                </c:pt>
                <c:pt idx="8">
                  <c:v>237.15194780565599</c:v>
                </c:pt>
                <c:pt idx="9">
                  <c:v>298.32666110000002</c:v>
                </c:pt>
                <c:pt idx="10">
                  <c:v>300.96527400965522</c:v>
                </c:pt>
                <c:pt idx="11">
                  <c:v>317.2160303537587</c:v>
                </c:pt>
                <c:pt idx="12">
                  <c:v>358.13145810124138</c:v>
                </c:pt>
                <c:pt idx="13">
                  <c:v>47.297702746758986</c:v>
                </c:pt>
                <c:pt idx="14">
                  <c:v>312.90027392465601</c:v>
                </c:pt>
                <c:pt idx="15">
                  <c:v>277.62530325562068</c:v>
                </c:pt>
                <c:pt idx="16">
                  <c:v>228.834127799035</c:v>
                </c:pt>
                <c:pt idx="17">
                  <c:v>274.80788137651803</c:v>
                </c:pt>
                <c:pt idx="18">
                  <c:v>141.04596954082803</c:v>
                </c:pt>
                <c:pt idx="19">
                  <c:v>163.52893128727601</c:v>
                </c:pt>
                <c:pt idx="20">
                  <c:v>284.06165957600001</c:v>
                </c:pt>
                <c:pt idx="21">
                  <c:v>262.825273442656</c:v>
                </c:pt>
                <c:pt idx="22">
                  <c:v>214.86594499186208</c:v>
                </c:pt>
                <c:pt idx="23">
                  <c:v>229.49136194834489</c:v>
                </c:pt>
                <c:pt idx="24">
                  <c:v>189.81995741803448</c:v>
                </c:pt>
                <c:pt idx="25">
                  <c:v>268.33990208910404</c:v>
                </c:pt>
                <c:pt idx="26">
                  <c:v>373.01128865644904</c:v>
                </c:pt>
                <c:pt idx="27">
                  <c:v>173.42346838982758</c:v>
                </c:pt>
                <c:pt idx="28">
                  <c:v>304.9016782809656</c:v>
                </c:pt>
                <c:pt idx="29">
                  <c:v>496.42263112082765</c:v>
                </c:pt>
                <c:pt idx="30">
                  <c:v>137.450691622173</c:v>
                </c:pt>
                <c:pt idx="31">
                  <c:v>189.24209131648303</c:v>
                </c:pt>
                <c:pt idx="32">
                  <c:v>162.33094126586303</c:v>
                </c:pt>
                <c:pt idx="33">
                  <c:v>212.001865337759</c:v>
                </c:pt>
                <c:pt idx="34">
                  <c:v>174.2583552049656</c:v>
                </c:pt>
                <c:pt idx="35">
                  <c:v>382.6351982797587</c:v>
                </c:pt>
                <c:pt idx="36">
                  <c:v>273.77726469227588</c:v>
                </c:pt>
                <c:pt idx="37">
                  <c:v>401.93327015206899</c:v>
                </c:pt>
                <c:pt idx="38">
                  <c:v>395.97894928824201</c:v>
                </c:pt>
                <c:pt idx="39">
                  <c:v>204.59438581572419</c:v>
                </c:pt>
                <c:pt idx="40">
                  <c:v>500.64989904610354</c:v>
                </c:pt>
                <c:pt idx="41">
                  <c:v>235.794708669345</c:v>
                </c:pt>
                <c:pt idx="42">
                  <c:v>225.23829503003503</c:v>
                </c:pt>
                <c:pt idx="43">
                  <c:v>266.191275846449</c:v>
                </c:pt>
                <c:pt idx="44">
                  <c:v>51.164338365793995</c:v>
                </c:pt>
                <c:pt idx="45">
                  <c:v>52.859680552379388</c:v>
                </c:pt>
                <c:pt idx="46">
                  <c:v>204.70993413206901</c:v>
                </c:pt>
                <c:pt idx="47">
                  <c:v>74.572409546103501</c:v>
                </c:pt>
                <c:pt idx="48">
                  <c:v>95.969632010141993</c:v>
                </c:pt>
                <c:pt idx="49">
                  <c:v>-28.122327236206004</c:v>
                </c:pt>
                <c:pt idx="50">
                  <c:v>4.4804867234129944</c:v>
                </c:pt>
                <c:pt idx="51">
                  <c:v>211.00037160455196</c:v>
                </c:pt>
                <c:pt idx="52">
                  <c:v>218.02619886455179</c:v>
                </c:pt>
                <c:pt idx="53">
                  <c:v>164.51016380179396</c:v>
                </c:pt>
                <c:pt idx="54">
                  <c:v>286.22875072648304</c:v>
                </c:pt>
                <c:pt idx="55">
                  <c:v>220.45978950124203</c:v>
                </c:pt>
                <c:pt idx="56">
                  <c:v>250.08787161555199</c:v>
                </c:pt>
                <c:pt idx="57">
                  <c:v>59.299538899552005</c:v>
                </c:pt>
                <c:pt idx="58">
                  <c:v>428.89414982499994</c:v>
                </c:pt>
                <c:pt idx="59">
                  <c:v>240.35913316603447</c:v>
                </c:pt>
                <c:pt idx="60">
                  <c:v>389.87834674696461</c:v>
                </c:pt>
                <c:pt idx="61">
                  <c:v>290.81584931996599</c:v>
                </c:pt>
                <c:pt idx="62">
                  <c:v>269.74449932358624</c:v>
                </c:pt>
                <c:pt idx="63">
                  <c:v>301.95180329282761</c:v>
                </c:pt>
                <c:pt idx="64">
                  <c:v>227.88861033665523</c:v>
                </c:pt>
                <c:pt idx="65">
                  <c:v>215.90407134810349</c:v>
                </c:pt>
                <c:pt idx="66">
                  <c:v>247.71278416065604</c:v>
                </c:pt>
                <c:pt idx="67">
                  <c:v>367.60519242975897</c:v>
                </c:pt>
                <c:pt idx="68">
                  <c:v>127.374875589138</c:v>
                </c:pt>
                <c:pt idx="69">
                  <c:v>325.6933476689656</c:v>
                </c:pt>
                <c:pt idx="70">
                  <c:v>359.6820893384828</c:v>
                </c:pt>
                <c:pt idx="71">
                  <c:v>354.46266775679322</c:v>
                </c:pt>
                <c:pt idx="72">
                  <c:v>264.6568643317587</c:v>
                </c:pt>
                <c:pt idx="73">
                  <c:v>310.81323710510401</c:v>
                </c:pt>
                <c:pt idx="74">
                  <c:v>378.72760059586199</c:v>
                </c:pt>
                <c:pt idx="75">
                  <c:v>373.4455331273449</c:v>
                </c:pt>
                <c:pt idx="76">
                  <c:v>125.50218207338001</c:v>
                </c:pt>
                <c:pt idx="77">
                  <c:v>323.14004977593197</c:v>
                </c:pt>
                <c:pt idx="78">
                  <c:v>241.83079866703451</c:v>
                </c:pt>
                <c:pt idx="79">
                  <c:v>208.52651798917304</c:v>
                </c:pt>
                <c:pt idx="80">
                  <c:v>52.613298591035004</c:v>
                </c:pt>
                <c:pt idx="81">
                  <c:v>75.76358743668969</c:v>
                </c:pt>
                <c:pt idx="82">
                  <c:v>57.151806055827606</c:v>
                </c:pt>
                <c:pt idx="83">
                  <c:v>242.10079691103454</c:v>
                </c:pt>
                <c:pt idx="84">
                  <c:v>202.66924487089659</c:v>
                </c:pt>
                <c:pt idx="85">
                  <c:v>484.9654409594483</c:v>
                </c:pt>
                <c:pt idx="86">
                  <c:v>656.53269538675875</c:v>
                </c:pt>
                <c:pt idx="87">
                  <c:v>518.37512848682763</c:v>
                </c:pt>
                <c:pt idx="88">
                  <c:v>190.7993616267587</c:v>
                </c:pt>
                <c:pt idx="89">
                  <c:v>179.79093930786212</c:v>
                </c:pt>
                <c:pt idx="90">
                  <c:v>236.68159962806902</c:v>
                </c:pt>
                <c:pt idx="91">
                  <c:v>92.467381075137993</c:v>
                </c:pt>
                <c:pt idx="92">
                  <c:v>138.81964747741401</c:v>
                </c:pt>
                <c:pt idx="93">
                  <c:v>315.91200261658634</c:v>
                </c:pt>
                <c:pt idx="94">
                  <c:v>155.25194619665518</c:v>
                </c:pt>
                <c:pt idx="95">
                  <c:v>140.46568475117149</c:v>
                </c:pt>
                <c:pt idx="96">
                  <c:v>401.73711428744826</c:v>
                </c:pt>
                <c:pt idx="97">
                  <c:v>147.06243832106901</c:v>
                </c:pt>
                <c:pt idx="98">
                  <c:v>477.52147453320691</c:v>
                </c:pt>
                <c:pt idx="99">
                  <c:v>677.40949278558696</c:v>
                </c:pt>
                <c:pt idx="100">
                  <c:v>280.47643675327589</c:v>
                </c:pt>
                <c:pt idx="101">
                  <c:v>189.62286619755179</c:v>
                </c:pt>
                <c:pt idx="102">
                  <c:v>156.38330092603499</c:v>
                </c:pt>
                <c:pt idx="103">
                  <c:v>198.78448002962099</c:v>
                </c:pt>
                <c:pt idx="104">
                  <c:v>356.99521283372496</c:v>
                </c:pt>
                <c:pt idx="105">
                  <c:v>452.11449576458625</c:v>
                </c:pt>
                <c:pt idx="106">
                  <c:v>407.32568144817247</c:v>
                </c:pt>
                <c:pt idx="107">
                  <c:v>519.19966150137941</c:v>
                </c:pt>
                <c:pt idx="108">
                  <c:v>306.06326046206902</c:v>
                </c:pt>
                <c:pt idx="109">
                  <c:v>402.91472703131041</c:v>
                </c:pt>
                <c:pt idx="110">
                  <c:v>208.7732996380345</c:v>
                </c:pt>
                <c:pt idx="111">
                  <c:v>757.94529790862077</c:v>
                </c:pt>
                <c:pt idx="112">
                  <c:v>465.79984850017303</c:v>
                </c:pt>
                <c:pt idx="113">
                  <c:v>555.23092912186212</c:v>
                </c:pt>
                <c:pt idx="114">
                  <c:v>256.917550200932</c:v>
                </c:pt>
                <c:pt idx="115">
                  <c:v>113.9420034755852</c:v>
                </c:pt>
                <c:pt idx="116">
                  <c:v>198.72715433541401</c:v>
                </c:pt>
                <c:pt idx="117">
                  <c:v>379.36327125106902</c:v>
                </c:pt>
                <c:pt idx="118">
                  <c:v>378.99970771634486</c:v>
                </c:pt>
                <c:pt idx="119">
                  <c:v>176.7705999672759</c:v>
                </c:pt>
                <c:pt idx="120">
                  <c:v>137.3928904435173</c:v>
                </c:pt>
                <c:pt idx="121">
                  <c:v>558.37407012610356</c:v>
                </c:pt>
                <c:pt idx="122">
                  <c:v>519.76931803579396</c:v>
                </c:pt>
                <c:pt idx="123">
                  <c:v>466.13668127296557</c:v>
                </c:pt>
                <c:pt idx="124">
                  <c:v>256.95855750172421</c:v>
                </c:pt>
                <c:pt idx="125">
                  <c:v>711.68231258220692</c:v>
                </c:pt>
                <c:pt idx="126">
                  <c:v>264.54936210875866</c:v>
                </c:pt>
                <c:pt idx="127">
                  <c:v>288.73053580834488</c:v>
                </c:pt>
                <c:pt idx="128">
                  <c:v>263.02616269258601</c:v>
                </c:pt>
                <c:pt idx="129">
                  <c:v>222.72577316306899</c:v>
                </c:pt>
                <c:pt idx="130">
                  <c:v>338.2764574252414</c:v>
                </c:pt>
                <c:pt idx="131">
                  <c:v>267.18898124720693</c:v>
                </c:pt>
                <c:pt idx="132">
                  <c:v>371.12917454096555</c:v>
                </c:pt>
                <c:pt idx="133">
                  <c:v>121.113958163242</c:v>
                </c:pt>
                <c:pt idx="134">
                  <c:v>450.34257248389702</c:v>
                </c:pt>
                <c:pt idx="135">
                  <c:v>271.30514232682759</c:v>
                </c:pt>
                <c:pt idx="136">
                  <c:v>526.03877044844899</c:v>
                </c:pt>
                <c:pt idx="137">
                  <c:v>336.3913678953449</c:v>
                </c:pt>
                <c:pt idx="138">
                  <c:v>215.06174358289698</c:v>
                </c:pt>
                <c:pt idx="139">
                  <c:v>276.547347729173</c:v>
                </c:pt>
                <c:pt idx="140">
                  <c:v>234.19637035534501</c:v>
                </c:pt>
                <c:pt idx="141">
                  <c:v>315.56113309762071</c:v>
                </c:pt>
                <c:pt idx="142">
                  <c:v>207.72281641562068</c:v>
                </c:pt>
                <c:pt idx="143">
                  <c:v>130.19401489317249</c:v>
                </c:pt>
                <c:pt idx="144">
                  <c:v>180.93001664396562</c:v>
                </c:pt>
                <c:pt idx="145">
                  <c:v>345.95017584175901</c:v>
                </c:pt>
                <c:pt idx="146">
                  <c:v>178.94312843324138</c:v>
                </c:pt>
                <c:pt idx="147">
                  <c:v>441.28476574727591</c:v>
                </c:pt>
                <c:pt idx="148">
                  <c:v>252.93970057434399</c:v>
                </c:pt>
                <c:pt idx="149">
                  <c:v>449.24104560672498</c:v>
                </c:pt>
                <c:pt idx="150">
                  <c:v>159.65412591003502</c:v>
                </c:pt>
                <c:pt idx="151">
                  <c:v>142.25688847672501</c:v>
                </c:pt>
                <c:pt idx="152">
                  <c:v>264.74634225438001</c:v>
                </c:pt>
                <c:pt idx="153">
                  <c:v>209.65298009641299</c:v>
                </c:pt>
                <c:pt idx="154">
                  <c:v>453.19379440044833</c:v>
                </c:pt>
                <c:pt idx="155">
                  <c:v>272.47536496955178</c:v>
                </c:pt>
                <c:pt idx="156">
                  <c:v>175.22427907386208</c:v>
                </c:pt>
                <c:pt idx="157">
                  <c:v>550.26784555858694</c:v>
                </c:pt>
                <c:pt idx="158">
                  <c:v>101.28016962779401</c:v>
                </c:pt>
                <c:pt idx="159">
                  <c:v>384.77556097331097</c:v>
                </c:pt>
                <c:pt idx="160">
                  <c:v>201.973100059275</c:v>
                </c:pt>
                <c:pt idx="161">
                  <c:v>411.15840564689705</c:v>
                </c:pt>
                <c:pt idx="162">
                  <c:v>416.33901203417298</c:v>
                </c:pt>
                <c:pt idx="163">
                  <c:v>242.92723275031102</c:v>
                </c:pt>
              </c:numCache>
            </c:numRef>
          </c:val>
          <c:extLst>
            <c:ext xmlns:c16="http://schemas.microsoft.com/office/drawing/2014/chart" uri="{C3380CC4-5D6E-409C-BE32-E72D297353CC}">
              <c16:uniqueId val="{00000000-E874-4879-8716-DB8AC2A0CA00}"/>
            </c:ext>
          </c:extLst>
        </c:ser>
        <c:dLbls>
          <c:showLegendKey val="0"/>
          <c:showVal val="0"/>
          <c:showCatName val="0"/>
          <c:showSerName val="0"/>
          <c:showPercent val="0"/>
          <c:showBubbleSize val="0"/>
        </c:dLbls>
        <c:gapWidth val="0"/>
        <c:overlap val="-27"/>
        <c:axId val="1823723120"/>
        <c:axId val="1823717840"/>
      </c:barChart>
      <c:catAx>
        <c:axId val="182372312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year-month</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200" b="0" i="0" u="none" strike="noStrike" kern="1200" baseline="0">
                <a:solidFill>
                  <a:schemeClr val="tx1"/>
                </a:solidFill>
                <a:latin typeface="Univers 57 Condensed" pitchFamily="50" charset="0"/>
                <a:ea typeface="+mn-ea"/>
                <a:cs typeface="+mn-cs"/>
              </a:defRPr>
            </a:pPr>
            <a:endParaRPr lang="en-US"/>
          </a:p>
        </c:txPr>
        <c:crossAx val="1823717840"/>
        <c:crosses val="autoZero"/>
        <c:auto val="1"/>
        <c:lblAlgn val="ctr"/>
        <c:lblOffset val="0"/>
        <c:tickLblSkip val="6"/>
        <c:noMultiLvlLbl val="0"/>
      </c:catAx>
      <c:valAx>
        <c:axId val="182371784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200" b="0" i="0" u="none" strike="noStrike" kern="1200" baseline="0">
                    <a:solidFill>
                      <a:schemeClr val="tx1"/>
                    </a:solidFill>
                    <a:latin typeface="Univers 57 Condensed" pitchFamily="50" charset="0"/>
                    <a:ea typeface="+mn-ea"/>
                    <a:cs typeface="+mn-cs"/>
                  </a:defRPr>
                </a:pPr>
                <a:r>
                  <a:rPr lang="en-US" sz="1200">
                    <a:solidFill>
                      <a:schemeClr val="tx1"/>
                    </a:solidFill>
                    <a:latin typeface="Univers 57 Condensed" pitchFamily="50" charset="0"/>
                  </a:rPr>
                  <a:t>P - ETa (mm)</a:t>
                </a:r>
              </a:p>
            </c:rich>
          </c:tx>
          <c:overlay val="0"/>
          <c:spPr>
            <a:noFill/>
            <a:ln>
              <a:noFill/>
            </a:ln>
            <a:effectLst/>
          </c:spPr>
          <c:txPr>
            <a:bodyPr rot="-5400000" spcFirstLastPara="1" vertOverflow="ellipsis" vert="horz" wrap="square" anchor="ctr" anchorCtr="1"/>
            <a:lstStyle/>
            <a:p>
              <a:pPr>
                <a:defRPr sz="1200" b="0" i="0" u="none" strike="noStrike" kern="1200" baseline="0">
                  <a:solidFill>
                    <a:schemeClr val="tx1"/>
                  </a:solidFill>
                  <a:latin typeface="Univers 57 Condensed" pitchFamily="50" charset="0"/>
                  <a:ea typeface="+mn-ea"/>
                  <a:cs typeface="+mn-cs"/>
                </a:defRPr>
              </a:pPr>
              <a:endParaRPr lang="en-US"/>
            </a:p>
          </c:txPr>
        </c:title>
        <c:numFmt formatCode="0" sourceLinked="0"/>
        <c:majorTickMark val="none"/>
        <c:minorTickMark val="none"/>
        <c:tickLblPos val="nextTo"/>
        <c:spPr>
          <a:noFill/>
          <a:ln>
            <a:solidFill>
              <a:schemeClr val="bg1">
                <a:lumMod val="75000"/>
              </a:schemeClr>
            </a:solidFill>
          </a:ln>
          <a:effectLst/>
        </c:spPr>
        <c:txPr>
          <a:bodyPr rot="-60000000" spcFirstLastPara="1" vertOverflow="ellipsis" vert="horz" wrap="square" anchor="ctr" anchorCtr="1"/>
          <a:lstStyle/>
          <a:p>
            <a:pPr>
              <a:defRPr sz="1200" b="0" i="0" u="none" strike="noStrike" kern="1200" baseline="0">
                <a:solidFill>
                  <a:schemeClr val="tx1"/>
                </a:solidFill>
                <a:latin typeface="Univers 57 Condensed" pitchFamily="50" charset="0"/>
                <a:ea typeface="+mn-ea"/>
                <a:cs typeface="+mn-cs"/>
              </a:defRPr>
            </a:pPr>
            <a:endParaRPr lang="en-US"/>
          </a:p>
        </c:txPr>
        <c:crossAx val="1823723120"/>
        <c:crosses val="autoZero"/>
        <c:crossBetween val="between"/>
      </c:valAx>
      <c:spPr>
        <a:noFill/>
        <a:ln>
          <a:solidFill>
            <a:schemeClr val="bg1">
              <a:lumMod val="75000"/>
            </a:schemeClr>
          </a:solid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a:pPr>
      <a:endParaRPr lang="en-US"/>
    </a:p>
  </c:txPr>
  <c:externalData r:id="rId3">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1"/>
          <c:order val="0"/>
          <c:tx>
            <c:strRef>
              <c:f>Kosrae!$M$1</c:f>
              <c:strCache>
                <c:ptCount val="1"/>
                <c:pt idx="0">
                  <c:v>P (IMERG)</c:v>
                </c:pt>
              </c:strCache>
            </c:strRef>
          </c:tx>
          <c:spPr>
            <a:solidFill>
              <a:schemeClr val="accent1">
                <a:lumMod val="60000"/>
                <a:lumOff val="40000"/>
              </a:schemeClr>
            </a:solidFill>
            <a:ln>
              <a:noFill/>
            </a:ln>
            <a:effectLst/>
          </c:spPr>
          <c:invertIfNegative val="0"/>
          <c:cat>
            <c:numRef>
              <c:f>Kosrae!$L$18:$L$29</c:f>
              <c:numCache>
                <c:formatCode>General</c:formatCode>
                <c:ptCount val="12"/>
                <c:pt idx="0">
                  <c:v>2013</c:v>
                </c:pt>
                <c:pt idx="1">
                  <c:v>2014</c:v>
                </c:pt>
                <c:pt idx="2">
                  <c:v>2015</c:v>
                </c:pt>
                <c:pt idx="3">
                  <c:v>2016</c:v>
                </c:pt>
                <c:pt idx="4">
                  <c:v>2017</c:v>
                </c:pt>
                <c:pt idx="5">
                  <c:v>2018</c:v>
                </c:pt>
                <c:pt idx="6">
                  <c:v>2019</c:v>
                </c:pt>
                <c:pt idx="7">
                  <c:v>2020</c:v>
                </c:pt>
                <c:pt idx="8">
                  <c:v>2021</c:v>
                </c:pt>
                <c:pt idx="9">
                  <c:v>2022</c:v>
                </c:pt>
                <c:pt idx="10">
                  <c:v>2023</c:v>
                </c:pt>
                <c:pt idx="11">
                  <c:v>2024</c:v>
                </c:pt>
              </c:numCache>
            </c:numRef>
          </c:cat>
          <c:val>
            <c:numRef>
              <c:f>Kosrae!$M$18:$M$29</c:f>
              <c:numCache>
                <c:formatCode>0.00</c:formatCode>
                <c:ptCount val="12"/>
                <c:pt idx="0">
                  <c:v>4065.9957288099999</c:v>
                </c:pt>
                <c:pt idx="1">
                  <c:v>4103.4390602370004</c:v>
                </c:pt>
                <c:pt idx="2">
                  <c:v>4392.8582343529997</c:v>
                </c:pt>
                <c:pt idx="3">
                  <c:v>3258.9507550940002</c:v>
                </c:pt>
                <c:pt idx="4">
                  <c:v>4565.114050997</c:v>
                </c:pt>
                <c:pt idx="5">
                  <c:v>3963.2824193679999</c:v>
                </c:pt>
                <c:pt idx="6">
                  <c:v>4554.3523914400002</c:v>
                </c:pt>
                <c:pt idx="7">
                  <c:v>5061.2848855279999</c:v>
                </c:pt>
                <c:pt idx="8">
                  <c:v>5683.021538729</c:v>
                </c:pt>
                <c:pt idx="9">
                  <c:v>5341.2823762999997</c:v>
                </c:pt>
                <c:pt idx="10">
                  <c:v>4767.6890334589998</c:v>
                </c:pt>
                <c:pt idx="11">
                  <c:v>4441.6490478440001</c:v>
                </c:pt>
              </c:numCache>
            </c:numRef>
          </c:val>
          <c:extLst>
            <c:ext xmlns:c16="http://schemas.microsoft.com/office/drawing/2014/chart" uri="{C3380CC4-5D6E-409C-BE32-E72D297353CC}">
              <c16:uniqueId val="{00000000-447A-4C60-A31C-76DDFC800149}"/>
            </c:ext>
          </c:extLst>
        </c:ser>
        <c:ser>
          <c:idx val="0"/>
          <c:order val="1"/>
          <c:tx>
            <c:strRef>
              <c:f>Kosrae!$N$1</c:f>
              <c:strCache>
                <c:ptCount val="1"/>
                <c:pt idx="0">
                  <c:v>ET (SSEBop)</c:v>
                </c:pt>
              </c:strCache>
            </c:strRef>
          </c:tx>
          <c:spPr>
            <a:solidFill>
              <a:schemeClr val="accent3">
                <a:lumMod val="75000"/>
              </a:schemeClr>
            </a:solidFill>
            <a:ln>
              <a:noFill/>
            </a:ln>
            <a:effectLst/>
          </c:spPr>
          <c:invertIfNegative val="0"/>
          <c:cat>
            <c:numRef>
              <c:f>Kosrae!$L$18:$L$29</c:f>
              <c:numCache>
                <c:formatCode>General</c:formatCode>
                <c:ptCount val="12"/>
                <c:pt idx="0">
                  <c:v>2013</c:v>
                </c:pt>
                <c:pt idx="1">
                  <c:v>2014</c:v>
                </c:pt>
                <c:pt idx="2">
                  <c:v>2015</c:v>
                </c:pt>
                <c:pt idx="3">
                  <c:v>2016</c:v>
                </c:pt>
                <c:pt idx="4">
                  <c:v>2017</c:v>
                </c:pt>
                <c:pt idx="5">
                  <c:v>2018</c:v>
                </c:pt>
                <c:pt idx="6">
                  <c:v>2019</c:v>
                </c:pt>
                <c:pt idx="7">
                  <c:v>2020</c:v>
                </c:pt>
                <c:pt idx="8">
                  <c:v>2021</c:v>
                </c:pt>
                <c:pt idx="9">
                  <c:v>2022</c:v>
                </c:pt>
                <c:pt idx="10">
                  <c:v>2023</c:v>
                </c:pt>
                <c:pt idx="11">
                  <c:v>2024</c:v>
                </c:pt>
              </c:numCache>
            </c:numRef>
          </c:cat>
          <c:val>
            <c:numRef>
              <c:f>Kosrae!$N$18:$N$29</c:f>
              <c:numCache>
                <c:formatCode>General</c:formatCode>
                <c:ptCount val="12"/>
                <c:pt idx="0">
                  <c:v>1183</c:v>
                </c:pt>
                <c:pt idx="1">
                  <c:v>1193</c:v>
                </c:pt>
                <c:pt idx="2">
                  <c:v>1197</c:v>
                </c:pt>
                <c:pt idx="3">
                  <c:v>1199</c:v>
                </c:pt>
                <c:pt idx="4">
                  <c:v>1201</c:v>
                </c:pt>
                <c:pt idx="5">
                  <c:v>1197</c:v>
                </c:pt>
                <c:pt idx="6">
                  <c:v>1140</c:v>
                </c:pt>
                <c:pt idx="7">
                  <c:v>1175</c:v>
                </c:pt>
                <c:pt idx="8">
                  <c:v>1139</c:v>
                </c:pt>
                <c:pt idx="9">
                  <c:v>1137</c:v>
                </c:pt>
                <c:pt idx="10">
                  <c:v>1175</c:v>
                </c:pt>
                <c:pt idx="11">
                  <c:v>1233</c:v>
                </c:pt>
              </c:numCache>
            </c:numRef>
          </c:val>
          <c:extLst>
            <c:ext xmlns:c16="http://schemas.microsoft.com/office/drawing/2014/chart" uri="{C3380CC4-5D6E-409C-BE32-E72D297353CC}">
              <c16:uniqueId val="{00000001-447A-4C60-A31C-76DDFC800149}"/>
            </c:ext>
          </c:extLst>
        </c:ser>
        <c:ser>
          <c:idx val="2"/>
          <c:order val="2"/>
          <c:tx>
            <c:strRef>
              <c:f>Kosrae!$O$1</c:f>
              <c:strCache>
                <c:ptCount val="1"/>
                <c:pt idx="0">
                  <c:v>P - ET</c:v>
                </c:pt>
              </c:strCache>
            </c:strRef>
          </c:tx>
          <c:spPr>
            <a:solidFill>
              <a:srgbClr val="002060"/>
            </a:solidFill>
            <a:ln>
              <a:noFill/>
            </a:ln>
            <a:effectLst/>
          </c:spPr>
          <c:invertIfNegative val="0"/>
          <c:cat>
            <c:numRef>
              <c:f>Kosrae!$L$18:$L$29</c:f>
              <c:numCache>
                <c:formatCode>General</c:formatCode>
                <c:ptCount val="12"/>
                <c:pt idx="0">
                  <c:v>2013</c:v>
                </c:pt>
                <c:pt idx="1">
                  <c:v>2014</c:v>
                </c:pt>
                <c:pt idx="2">
                  <c:v>2015</c:v>
                </c:pt>
                <c:pt idx="3">
                  <c:v>2016</c:v>
                </c:pt>
                <c:pt idx="4">
                  <c:v>2017</c:v>
                </c:pt>
                <c:pt idx="5">
                  <c:v>2018</c:v>
                </c:pt>
                <c:pt idx="6">
                  <c:v>2019</c:v>
                </c:pt>
                <c:pt idx="7">
                  <c:v>2020</c:v>
                </c:pt>
                <c:pt idx="8">
                  <c:v>2021</c:v>
                </c:pt>
                <c:pt idx="9">
                  <c:v>2022</c:v>
                </c:pt>
                <c:pt idx="10">
                  <c:v>2023</c:v>
                </c:pt>
                <c:pt idx="11">
                  <c:v>2024</c:v>
                </c:pt>
              </c:numCache>
            </c:numRef>
          </c:cat>
          <c:val>
            <c:numRef>
              <c:f>Kosrae!$O$18:$O$29</c:f>
              <c:numCache>
                <c:formatCode>0</c:formatCode>
                <c:ptCount val="12"/>
                <c:pt idx="0">
                  <c:v>2882.9957288099999</c:v>
                </c:pt>
                <c:pt idx="1">
                  <c:v>2910.4390602370004</c:v>
                </c:pt>
                <c:pt idx="2">
                  <c:v>3195.8582343529997</c:v>
                </c:pt>
                <c:pt idx="3">
                  <c:v>2059.9507550940002</c:v>
                </c:pt>
                <c:pt idx="4">
                  <c:v>3364.114050997</c:v>
                </c:pt>
                <c:pt idx="5">
                  <c:v>2766.2824193679999</c:v>
                </c:pt>
                <c:pt idx="6">
                  <c:v>3414.3523914400002</c:v>
                </c:pt>
                <c:pt idx="7">
                  <c:v>3886.2848855279999</c:v>
                </c:pt>
                <c:pt idx="8">
                  <c:v>4544.021538729</c:v>
                </c:pt>
                <c:pt idx="9">
                  <c:v>4204.2823762999997</c:v>
                </c:pt>
                <c:pt idx="10">
                  <c:v>3592.6890334589998</c:v>
                </c:pt>
                <c:pt idx="11">
                  <c:v>3208.6490478440001</c:v>
                </c:pt>
              </c:numCache>
            </c:numRef>
          </c:val>
          <c:extLst>
            <c:ext xmlns:c16="http://schemas.microsoft.com/office/drawing/2014/chart" uri="{C3380CC4-5D6E-409C-BE32-E72D297353CC}">
              <c16:uniqueId val="{00000002-447A-4C60-A31C-76DDFC800149}"/>
            </c:ext>
          </c:extLst>
        </c:ser>
        <c:dLbls>
          <c:showLegendKey val="0"/>
          <c:showVal val="0"/>
          <c:showCatName val="0"/>
          <c:showSerName val="0"/>
          <c:showPercent val="0"/>
          <c:showBubbleSize val="0"/>
        </c:dLbls>
        <c:gapWidth val="150"/>
        <c:axId val="1822521504"/>
        <c:axId val="1822522944"/>
      </c:barChart>
      <c:catAx>
        <c:axId val="1822521504"/>
        <c:scaling>
          <c:orientation val="minMax"/>
        </c:scaling>
        <c:delete val="0"/>
        <c:axPos val="b"/>
        <c:title>
          <c:tx>
            <c:rich>
              <a:bodyPr rot="0" spcFirstLastPara="1" vertOverflow="ellipsis" vert="horz" wrap="square" anchor="ctr" anchorCtr="1"/>
              <a:lstStyle/>
              <a:p>
                <a:pPr>
                  <a:defRPr sz="1200" b="0" i="0" u="none" strike="noStrike" kern="1200" baseline="0">
                    <a:solidFill>
                      <a:schemeClr val="tx1">
                        <a:lumMod val="65000"/>
                        <a:lumOff val="35000"/>
                      </a:schemeClr>
                    </a:solidFill>
                    <a:latin typeface="Univers 57 Condensed" pitchFamily="50" charset="0"/>
                    <a:ea typeface="+mn-ea"/>
                    <a:cs typeface="+mn-cs"/>
                  </a:defRPr>
                </a:pPr>
                <a:r>
                  <a:rPr lang="en-US" sz="1200">
                    <a:latin typeface="Univers 57 Condensed" pitchFamily="50" charset="0"/>
                  </a:rPr>
                  <a:t>year</a:t>
                </a:r>
              </a:p>
            </c:rich>
          </c:tx>
          <c:overlay val="0"/>
          <c:spPr>
            <a:noFill/>
            <a:ln>
              <a:noFill/>
            </a:ln>
            <a:effectLst/>
          </c:spPr>
          <c:txPr>
            <a:bodyPr rot="0" spcFirstLastPara="1" vertOverflow="ellipsis" vert="horz" wrap="square" anchor="ctr" anchorCtr="1"/>
            <a:lstStyle/>
            <a:p>
              <a:pPr>
                <a:defRPr sz="1200" b="0" i="0" u="none" strike="noStrike" kern="1200" baseline="0">
                  <a:solidFill>
                    <a:schemeClr val="tx1">
                      <a:lumMod val="65000"/>
                      <a:lumOff val="35000"/>
                    </a:schemeClr>
                  </a:solidFill>
                  <a:latin typeface="Univers 57 Condensed" pitchFamily="50" charset="0"/>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200" b="0" i="0" u="none" strike="noStrike" kern="1200" baseline="0">
                <a:solidFill>
                  <a:schemeClr val="tx1"/>
                </a:solidFill>
                <a:latin typeface="Univers 57 Condensed" pitchFamily="50" charset="0"/>
                <a:ea typeface="+mn-ea"/>
                <a:cs typeface="+mn-cs"/>
              </a:defRPr>
            </a:pPr>
            <a:endParaRPr lang="en-US"/>
          </a:p>
        </c:txPr>
        <c:crossAx val="1822522944"/>
        <c:crosses val="autoZero"/>
        <c:auto val="1"/>
        <c:lblAlgn val="ctr"/>
        <c:lblOffset val="100"/>
        <c:noMultiLvlLbl val="0"/>
      </c:catAx>
      <c:valAx>
        <c:axId val="1822522944"/>
        <c:scaling>
          <c:orientation val="minMax"/>
        </c:scaling>
        <c:delete val="0"/>
        <c:axPos val="l"/>
        <c:majorGridlines>
          <c:spPr>
            <a:ln w="9525" cap="flat" cmpd="sng" algn="ctr">
              <a:solidFill>
                <a:schemeClr val="bg1">
                  <a:lumMod val="75000"/>
                </a:schemeClr>
              </a:solidFill>
              <a:round/>
            </a:ln>
            <a:effectLst/>
          </c:spPr>
        </c:majorGridlines>
        <c:title>
          <c:tx>
            <c:rich>
              <a:bodyPr rot="-5400000" spcFirstLastPara="1" vertOverflow="ellipsis" vert="horz" wrap="square" anchor="ctr" anchorCtr="1"/>
              <a:lstStyle/>
              <a:p>
                <a:pPr>
                  <a:defRPr sz="1200" b="0" i="0" u="none" strike="noStrike" kern="1200" baseline="0">
                    <a:solidFill>
                      <a:schemeClr val="tx1">
                        <a:lumMod val="65000"/>
                        <a:lumOff val="35000"/>
                      </a:schemeClr>
                    </a:solidFill>
                    <a:latin typeface="Univers 57 Condensed" pitchFamily="50" charset="0"/>
                    <a:ea typeface="+mn-ea"/>
                    <a:cs typeface="+mn-cs"/>
                  </a:defRPr>
                </a:pPr>
                <a:r>
                  <a:rPr lang="en-US" sz="1200">
                    <a:latin typeface="Univers 57 Condensed" pitchFamily="50" charset="0"/>
                  </a:rPr>
                  <a:t>Net annual water availability (mm)</a:t>
                </a:r>
              </a:p>
            </c:rich>
          </c:tx>
          <c:layout>
            <c:manualLayout>
              <c:xMode val="edge"/>
              <c:yMode val="edge"/>
              <c:x val="1.0248142221619707E-2"/>
              <c:y val="0.23606152099681663"/>
            </c:manualLayout>
          </c:layout>
          <c:overlay val="0"/>
          <c:spPr>
            <a:noFill/>
            <a:ln>
              <a:noFill/>
            </a:ln>
            <a:effectLst/>
          </c:spPr>
          <c:txPr>
            <a:bodyPr rot="-5400000" spcFirstLastPara="1" vertOverflow="ellipsis" vert="horz" wrap="square" anchor="ctr" anchorCtr="1"/>
            <a:lstStyle/>
            <a:p>
              <a:pPr>
                <a:defRPr sz="1200" b="0" i="0" u="none" strike="noStrike" kern="1200" baseline="0">
                  <a:solidFill>
                    <a:schemeClr val="tx1">
                      <a:lumMod val="65000"/>
                      <a:lumOff val="35000"/>
                    </a:schemeClr>
                  </a:solidFill>
                  <a:latin typeface="Univers 57 Condensed" pitchFamily="50" charset="0"/>
                  <a:ea typeface="+mn-ea"/>
                  <a:cs typeface="+mn-cs"/>
                </a:defRPr>
              </a:pPr>
              <a:endParaRPr lang="en-US"/>
            </a:p>
          </c:txPr>
        </c:title>
        <c:numFmt formatCode="0" sourceLinked="0"/>
        <c:majorTickMark val="out"/>
        <c:minorTickMark val="none"/>
        <c:tickLblPos val="nextTo"/>
        <c:spPr>
          <a:noFill/>
          <a:ln>
            <a:noFill/>
          </a:ln>
          <a:effectLst/>
        </c:spPr>
        <c:txPr>
          <a:bodyPr rot="-60000000" spcFirstLastPara="1" vertOverflow="ellipsis" vert="horz" wrap="square" anchor="ctr" anchorCtr="1"/>
          <a:lstStyle/>
          <a:p>
            <a:pPr>
              <a:defRPr sz="1200" b="0" i="0" u="none" strike="noStrike" kern="1200" baseline="0">
                <a:solidFill>
                  <a:schemeClr val="tx1">
                    <a:lumMod val="65000"/>
                    <a:lumOff val="35000"/>
                  </a:schemeClr>
                </a:solidFill>
                <a:latin typeface="Univers 57 Condensed" pitchFamily="50" charset="0"/>
                <a:ea typeface="+mn-ea"/>
                <a:cs typeface="+mn-cs"/>
              </a:defRPr>
            </a:pPr>
            <a:endParaRPr lang="en-US"/>
          </a:p>
        </c:txPr>
        <c:crossAx val="1822521504"/>
        <c:crosses val="autoZero"/>
        <c:crossBetween val="between"/>
      </c:valAx>
      <c:spPr>
        <a:noFill/>
        <a:ln>
          <a:solidFill>
            <a:schemeClr val="bg1">
              <a:lumMod val="75000"/>
            </a:schemeClr>
          </a:solidFill>
        </a:ln>
        <a:effectLst/>
      </c:spPr>
    </c:plotArea>
    <c:legend>
      <c:legendPos val="r"/>
      <c:overlay val="0"/>
      <c:spPr>
        <a:noFill/>
        <a:ln>
          <a:noFill/>
        </a:ln>
        <a:effectLst/>
      </c:spPr>
      <c:txPr>
        <a:bodyPr rot="0" spcFirstLastPara="1" vertOverflow="ellipsis" vert="horz" wrap="square" anchor="ctr" anchorCtr="1"/>
        <a:lstStyle/>
        <a:p>
          <a:pPr>
            <a:defRPr sz="1600" b="0" i="0" u="none" strike="noStrike" kern="1200" baseline="0">
              <a:solidFill>
                <a:schemeClr val="tx1">
                  <a:lumMod val="65000"/>
                  <a:lumOff val="35000"/>
                </a:schemeClr>
              </a:solidFill>
              <a:latin typeface="Univers 57 Condensed" pitchFamily="50" charset="0"/>
              <a:ea typeface="+mn-ea"/>
              <a:cs typeface="+mn-cs"/>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a:pPr>
      <a:endParaRPr lang="en-US"/>
    </a:p>
  </c:txPr>
  <c:externalData r:id="rId3">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2"/>
          <c:order val="0"/>
          <c:tx>
            <c:strRef>
              <c:f>Pohnpei!$D$2</c:f>
              <c:strCache>
                <c:ptCount val="1"/>
                <c:pt idx="0">
                  <c:v>mm</c:v>
                </c:pt>
              </c:strCache>
            </c:strRef>
          </c:tx>
          <c:spPr>
            <a:solidFill>
              <a:schemeClr val="tx2">
                <a:lumMod val="40000"/>
                <a:lumOff val="60000"/>
              </a:schemeClr>
            </a:solidFill>
            <a:ln>
              <a:solidFill>
                <a:schemeClr val="tx2">
                  <a:lumMod val="40000"/>
                  <a:lumOff val="60000"/>
                </a:schemeClr>
              </a:solidFill>
            </a:ln>
            <a:effectLst/>
          </c:spPr>
          <c:invertIfNegative val="0"/>
          <c:cat>
            <c:strRef>
              <c:f>Pohnpei!$A$3:$A$335</c:f>
              <c:strCache>
                <c:ptCount val="333"/>
                <c:pt idx="0">
                  <c:v>1998-01</c:v>
                </c:pt>
                <c:pt idx="1">
                  <c:v>1998-02</c:v>
                </c:pt>
                <c:pt idx="2">
                  <c:v>1998-03</c:v>
                </c:pt>
                <c:pt idx="3">
                  <c:v>1998-04</c:v>
                </c:pt>
                <c:pt idx="4">
                  <c:v>1998-05</c:v>
                </c:pt>
                <c:pt idx="5">
                  <c:v>1998-06</c:v>
                </c:pt>
                <c:pt idx="6">
                  <c:v>1998-07</c:v>
                </c:pt>
                <c:pt idx="7">
                  <c:v>1998-08</c:v>
                </c:pt>
                <c:pt idx="8">
                  <c:v>1998-09</c:v>
                </c:pt>
                <c:pt idx="9">
                  <c:v>1998-10</c:v>
                </c:pt>
                <c:pt idx="10">
                  <c:v>1998-11</c:v>
                </c:pt>
                <c:pt idx="11">
                  <c:v>1998-12</c:v>
                </c:pt>
                <c:pt idx="12">
                  <c:v>1999-01</c:v>
                </c:pt>
                <c:pt idx="13">
                  <c:v>1999-02</c:v>
                </c:pt>
                <c:pt idx="14">
                  <c:v>1999-03</c:v>
                </c:pt>
                <c:pt idx="15">
                  <c:v>1999-04</c:v>
                </c:pt>
                <c:pt idx="16">
                  <c:v>1999-05</c:v>
                </c:pt>
                <c:pt idx="17">
                  <c:v>1999-06</c:v>
                </c:pt>
                <c:pt idx="18">
                  <c:v>1999-07</c:v>
                </c:pt>
                <c:pt idx="19">
                  <c:v>1999-08</c:v>
                </c:pt>
                <c:pt idx="20">
                  <c:v>1999-09</c:v>
                </c:pt>
                <c:pt idx="21">
                  <c:v>1999-10</c:v>
                </c:pt>
                <c:pt idx="22">
                  <c:v>1999-11</c:v>
                </c:pt>
                <c:pt idx="23">
                  <c:v>1999-12</c:v>
                </c:pt>
                <c:pt idx="24">
                  <c:v>2000-01</c:v>
                </c:pt>
                <c:pt idx="25">
                  <c:v>2000-02</c:v>
                </c:pt>
                <c:pt idx="26">
                  <c:v>2000-03</c:v>
                </c:pt>
                <c:pt idx="27">
                  <c:v>2000-04</c:v>
                </c:pt>
                <c:pt idx="28">
                  <c:v>2000-05</c:v>
                </c:pt>
                <c:pt idx="29">
                  <c:v>2000-06</c:v>
                </c:pt>
                <c:pt idx="30">
                  <c:v>2000-07</c:v>
                </c:pt>
                <c:pt idx="31">
                  <c:v>2000-08</c:v>
                </c:pt>
                <c:pt idx="32">
                  <c:v>2000-09</c:v>
                </c:pt>
                <c:pt idx="33">
                  <c:v>2000-10</c:v>
                </c:pt>
                <c:pt idx="34">
                  <c:v>2000-11</c:v>
                </c:pt>
                <c:pt idx="35">
                  <c:v>2000-12</c:v>
                </c:pt>
                <c:pt idx="36">
                  <c:v>2001-01</c:v>
                </c:pt>
                <c:pt idx="37">
                  <c:v>2001-02</c:v>
                </c:pt>
                <c:pt idx="38">
                  <c:v>2001-03</c:v>
                </c:pt>
                <c:pt idx="39">
                  <c:v>2001-04</c:v>
                </c:pt>
                <c:pt idx="40">
                  <c:v>2001-05</c:v>
                </c:pt>
                <c:pt idx="41">
                  <c:v>2001-06</c:v>
                </c:pt>
                <c:pt idx="42">
                  <c:v>2001-07</c:v>
                </c:pt>
                <c:pt idx="43">
                  <c:v>2001-08</c:v>
                </c:pt>
                <c:pt idx="44">
                  <c:v>2001-09</c:v>
                </c:pt>
                <c:pt idx="45">
                  <c:v>2001-10</c:v>
                </c:pt>
                <c:pt idx="46">
                  <c:v>2001-11</c:v>
                </c:pt>
                <c:pt idx="47">
                  <c:v>2001-12</c:v>
                </c:pt>
                <c:pt idx="48">
                  <c:v>2002-01</c:v>
                </c:pt>
                <c:pt idx="49">
                  <c:v>2002-02</c:v>
                </c:pt>
                <c:pt idx="50">
                  <c:v>2002-03</c:v>
                </c:pt>
                <c:pt idx="51">
                  <c:v>2002-04</c:v>
                </c:pt>
                <c:pt idx="52">
                  <c:v>2002-05</c:v>
                </c:pt>
                <c:pt idx="53">
                  <c:v>2002-06</c:v>
                </c:pt>
                <c:pt idx="54">
                  <c:v>2002-07</c:v>
                </c:pt>
                <c:pt idx="55">
                  <c:v>2002-08</c:v>
                </c:pt>
                <c:pt idx="56">
                  <c:v>2002-09</c:v>
                </c:pt>
                <c:pt idx="57">
                  <c:v>2002-10</c:v>
                </c:pt>
                <c:pt idx="58">
                  <c:v>2002-11</c:v>
                </c:pt>
                <c:pt idx="59">
                  <c:v>2002-12</c:v>
                </c:pt>
                <c:pt idx="60">
                  <c:v>2003-01</c:v>
                </c:pt>
                <c:pt idx="61">
                  <c:v>2003-02</c:v>
                </c:pt>
                <c:pt idx="62">
                  <c:v>2003-03</c:v>
                </c:pt>
                <c:pt idx="63">
                  <c:v>2003-04</c:v>
                </c:pt>
                <c:pt idx="64">
                  <c:v>2003-05</c:v>
                </c:pt>
                <c:pt idx="65">
                  <c:v>2003-06</c:v>
                </c:pt>
                <c:pt idx="66">
                  <c:v>2003-07</c:v>
                </c:pt>
                <c:pt idx="67">
                  <c:v>2003-08</c:v>
                </c:pt>
                <c:pt idx="68">
                  <c:v>2003-09</c:v>
                </c:pt>
                <c:pt idx="69">
                  <c:v>2003-10</c:v>
                </c:pt>
                <c:pt idx="70">
                  <c:v>2003-11</c:v>
                </c:pt>
                <c:pt idx="71">
                  <c:v>2003-12</c:v>
                </c:pt>
                <c:pt idx="72">
                  <c:v>2004-01</c:v>
                </c:pt>
                <c:pt idx="73">
                  <c:v>2004-02</c:v>
                </c:pt>
                <c:pt idx="74">
                  <c:v>2004-03</c:v>
                </c:pt>
                <c:pt idx="75">
                  <c:v>2004-04</c:v>
                </c:pt>
                <c:pt idx="76">
                  <c:v>2004-05</c:v>
                </c:pt>
                <c:pt idx="77">
                  <c:v>2004-06</c:v>
                </c:pt>
                <c:pt idx="78">
                  <c:v>2004-07</c:v>
                </c:pt>
                <c:pt idx="79">
                  <c:v>2004-08</c:v>
                </c:pt>
                <c:pt idx="80">
                  <c:v>2004-09</c:v>
                </c:pt>
                <c:pt idx="81">
                  <c:v>2004-10</c:v>
                </c:pt>
                <c:pt idx="82">
                  <c:v>2004-11</c:v>
                </c:pt>
                <c:pt idx="83">
                  <c:v>2004-12</c:v>
                </c:pt>
                <c:pt idx="84">
                  <c:v>2005-01</c:v>
                </c:pt>
                <c:pt idx="85">
                  <c:v>2005-02</c:v>
                </c:pt>
                <c:pt idx="86">
                  <c:v>2005-03</c:v>
                </c:pt>
                <c:pt idx="87">
                  <c:v>2005-04</c:v>
                </c:pt>
                <c:pt idx="88">
                  <c:v>2005-05</c:v>
                </c:pt>
                <c:pt idx="89">
                  <c:v>2005-06</c:v>
                </c:pt>
                <c:pt idx="90">
                  <c:v>2005-07</c:v>
                </c:pt>
                <c:pt idx="91">
                  <c:v>2005-08</c:v>
                </c:pt>
                <c:pt idx="92">
                  <c:v>2005-09</c:v>
                </c:pt>
                <c:pt idx="93">
                  <c:v>2005-10</c:v>
                </c:pt>
                <c:pt idx="94">
                  <c:v>2005-11</c:v>
                </c:pt>
                <c:pt idx="95">
                  <c:v>2005-12</c:v>
                </c:pt>
                <c:pt idx="96">
                  <c:v>2006-01</c:v>
                </c:pt>
                <c:pt idx="97">
                  <c:v>2006-02</c:v>
                </c:pt>
                <c:pt idx="98">
                  <c:v>2006-03</c:v>
                </c:pt>
                <c:pt idx="99">
                  <c:v>2006-04</c:v>
                </c:pt>
                <c:pt idx="100">
                  <c:v>2006-05</c:v>
                </c:pt>
                <c:pt idx="101">
                  <c:v>2006-06</c:v>
                </c:pt>
                <c:pt idx="102">
                  <c:v>2006-07</c:v>
                </c:pt>
                <c:pt idx="103">
                  <c:v>2006-08</c:v>
                </c:pt>
                <c:pt idx="104">
                  <c:v>2006-09</c:v>
                </c:pt>
                <c:pt idx="105">
                  <c:v>2006-10</c:v>
                </c:pt>
                <c:pt idx="106">
                  <c:v>2006-11</c:v>
                </c:pt>
                <c:pt idx="107">
                  <c:v>2006-12</c:v>
                </c:pt>
                <c:pt idx="108">
                  <c:v>2007-01</c:v>
                </c:pt>
                <c:pt idx="109">
                  <c:v>2007-02</c:v>
                </c:pt>
                <c:pt idx="110">
                  <c:v>2007-03</c:v>
                </c:pt>
                <c:pt idx="111">
                  <c:v>2007-04</c:v>
                </c:pt>
                <c:pt idx="112">
                  <c:v>2007-05</c:v>
                </c:pt>
                <c:pt idx="113">
                  <c:v>2007-06</c:v>
                </c:pt>
                <c:pt idx="114">
                  <c:v>2007-07</c:v>
                </c:pt>
                <c:pt idx="115">
                  <c:v>2007-08</c:v>
                </c:pt>
                <c:pt idx="116">
                  <c:v>2007-09</c:v>
                </c:pt>
                <c:pt idx="117">
                  <c:v>2007-10</c:v>
                </c:pt>
                <c:pt idx="118">
                  <c:v>2007-11</c:v>
                </c:pt>
                <c:pt idx="119">
                  <c:v>2007-12</c:v>
                </c:pt>
                <c:pt idx="120">
                  <c:v>2008-01</c:v>
                </c:pt>
                <c:pt idx="121">
                  <c:v>2008-02</c:v>
                </c:pt>
                <c:pt idx="122">
                  <c:v>2008-03</c:v>
                </c:pt>
                <c:pt idx="123">
                  <c:v>2008-04</c:v>
                </c:pt>
                <c:pt idx="124">
                  <c:v>2008-05</c:v>
                </c:pt>
                <c:pt idx="125">
                  <c:v>2008-06</c:v>
                </c:pt>
                <c:pt idx="126">
                  <c:v>2008-07</c:v>
                </c:pt>
                <c:pt idx="127">
                  <c:v>2008-08</c:v>
                </c:pt>
                <c:pt idx="128">
                  <c:v>2008-09</c:v>
                </c:pt>
                <c:pt idx="129">
                  <c:v>2008-10</c:v>
                </c:pt>
                <c:pt idx="130">
                  <c:v>2008-11</c:v>
                </c:pt>
                <c:pt idx="131">
                  <c:v>2008-12</c:v>
                </c:pt>
                <c:pt idx="132">
                  <c:v>2009-01</c:v>
                </c:pt>
                <c:pt idx="133">
                  <c:v>2009-02</c:v>
                </c:pt>
                <c:pt idx="134">
                  <c:v>2009-03</c:v>
                </c:pt>
                <c:pt idx="135">
                  <c:v>2009-04</c:v>
                </c:pt>
                <c:pt idx="136">
                  <c:v>2009-05</c:v>
                </c:pt>
                <c:pt idx="137">
                  <c:v>2009-06</c:v>
                </c:pt>
                <c:pt idx="138">
                  <c:v>2009-07</c:v>
                </c:pt>
                <c:pt idx="139">
                  <c:v>2009-08</c:v>
                </c:pt>
                <c:pt idx="140">
                  <c:v>2009-09</c:v>
                </c:pt>
                <c:pt idx="141">
                  <c:v>2009-10</c:v>
                </c:pt>
                <c:pt idx="142">
                  <c:v>2009-11</c:v>
                </c:pt>
                <c:pt idx="143">
                  <c:v>2009-12</c:v>
                </c:pt>
                <c:pt idx="144">
                  <c:v>2010-01</c:v>
                </c:pt>
                <c:pt idx="145">
                  <c:v>2010-02</c:v>
                </c:pt>
                <c:pt idx="146">
                  <c:v>2010-03</c:v>
                </c:pt>
                <c:pt idx="147">
                  <c:v>2010-04</c:v>
                </c:pt>
                <c:pt idx="148">
                  <c:v>2010-05</c:v>
                </c:pt>
                <c:pt idx="149">
                  <c:v>2010-06</c:v>
                </c:pt>
                <c:pt idx="150">
                  <c:v>2010-07</c:v>
                </c:pt>
                <c:pt idx="151">
                  <c:v>2010-08</c:v>
                </c:pt>
                <c:pt idx="152">
                  <c:v>2010-09</c:v>
                </c:pt>
                <c:pt idx="153">
                  <c:v>2010-10</c:v>
                </c:pt>
                <c:pt idx="154">
                  <c:v>2010-11</c:v>
                </c:pt>
                <c:pt idx="155">
                  <c:v>2010-12</c:v>
                </c:pt>
                <c:pt idx="156">
                  <c:v>2011-01</c:v>
                </c:pt>
                <c:pt idx="157">
                  <c:v>2011-02</c:v>
                </c:pt>
                <c:pt idx="158">
                  <c:v>2011-03</c:v>
                </c:pt>
                <c:pt idx="159">
                  <c:v>2011-04</c:v>
                </c:pt>
                <c:pt idx="160">
                  <c:v>2011-05</c:v>
                </c:pt>
                <c:pt idx="161">
                  <c:v>2011-06</c:v>
                </c:pt>
                <c:pt idx="162">
                  <c:v>2011-07</c:v>
                </c:pt>
                <c:pt idx="163">
                  <c:v>2011-08</c:v>
                </c:pt>
                <c:pt idx="164">
                  <c:v>2011-09</c:v>
                </c:pt>
                <c:pt idx="165">
                  <c:v>2011-10</c:v>
                </c:pt>
                <c:pt idx="166">
                  <c:v>2011-11</c:v>
                </c:pt>
                <c:pt idx="167">
                  <c:v>2011-12</c:v>
                </c:pt>
                <c:pt idx="168">
                  <c:v>2012-01</c:v>
                </c:pt>
                <c:pt idx="169">
                  <c:v>2012-02</c:v>
                </c:pt>
                <c:pt idx="170">
                  <c:v>2012-03</c:v>
                </c:pt>
                <c:pt idx="171">
                  <c:v>2012-04</c:v>
                </c:pt>
                <c:pt idx="172">
                  <c:v>2012-05</c:v>
                </c:pt>
                <c:pt idx="173">
                  <c:v>2012-06</c:v>
                </c:pt>
                <c:pt idx="174">
                  <c:v>2012-07</c:v>
                </c:pt>
                <c:pt idx="175">
                  <c:v>2012-08</c:v>
                </c:pt>
                <c:pt idx="176">
                  <c:v>2012-09</c:v>
                </c:pt>
                <c:pt idx="177">
                  <c:v>2012-10</c:v>
                </c:pt>
                <c:pt idx="178">
                  <c:v>2012-11</c:v>
                </c:pt>
                <c:pt idx="179">
                  <c:v>2012-12</c:v>
                </c:pt>
                <c:pt idx="180">
                  <c:v>2013-01</c:v>
                </c:pt>
                <c:pt idx="181">
                  <c:v>2013-02</c:v>
                </c:pt>
                <c:pt idx="182">
                  <c:v>2013-03</c:v>
                </c:pt>
                <c:pt idx="183">
                  <c:v>2013-04</c:v>
                </c:pt>
                <c:pt idx="184">
                  <c:v>2013-05</c:v>
                </c:pt>
                <c:pt idx="185">
                  <c:v>2013-06</c:v>
                </c:pt>
                <c:pt idx="186">
                  <c:v>2013-07</c:v>
                </c:pt>
                <c:pt idx="187">
                  <c:v>2013-08</c:v>
                </c:pt>
                <c:pt idx="188">
                  <c:v>2013-09</c:v>
                </c:pt>
                <c:pt idx="189">
                  <c:v>2013-10</c:v>
                </c:pt>
                <c:pt idx="190">
                  <c:v>2013-11</c:v>
                </c:pt>
                <c:pt idx="191">
                  <c:v>2013-12</c:v>
                </c:pt>
                <c:pt idx="192">
                  <c:v>2014-01</c:v>
                </c:pt>
                <c:pt idx="193">
                  <c:v>2014-02</c:v>
                </c:pt>
                <c:pt idx="194">
                  <c:v>2014-03</c:v>
                </c:pt>
                <c:pt idx="195">
                  <c:v>2014-04</c:v>
                </c:pt>
                <c:pt idx="196">
                  <c:v>2014-05</c:v>
                </c:pt>
                <c:pt idx="197">
                  <c:v>2014-06</c:v>
                </c:pt>
                <c:pt idx="198">
                  <c:v>2014-07</c:v>
                </c:pt>
                <c:pt idx="199">
                  <c:v>2014-08</c:v>
                </c:pt>
                <c:pt idx="200">
                  <c:v>2014-09</c:v>
                </c:pt>
                <c:pt idx="201">
                  <c:v>2014-10</c:v>
                </c:pt>
                <c:pt idx="202">
                  <c:v>2014-11</c:v>
                </c:pt>
                <c:pt idx="203">
                  <c:v>2014-12</c:v>
                </c:pt>
                <c:pt idx="204">
                  <c:v>2015-01</c:v>
                </c:pt>
                <c:pt idx="205">
                  <c:v>2015-02</c:v>
                </c:pt>
                <c:pt idx="206">
                  <c:v>2015-03</c:v>
                </c:pt>
                <c:pt idx="207">
                  <c:v>2015-04</c:v>
                </c:pt>
                <c:pt idx="208">
                  <c:v>2015-05</c:v>
                </c:pt>
                <c:pt idx="209">
                  <c:v>2015-06</c:v>
                </c:pt>
                <c:pt idx="210">
                  <c:v>2015-07</c:v>
                </c:pt>
                <c:pt idx="211">
                  <c:v>2015-08</c:v>
                </c:pt>
                <c:pt idx="212">
                  <c:v>2015-09</c:v>
                </c:pt>
                <c:pt idx="213">
                  <c:v>2015-10</c:v>
                </c:pt>
                <c:pt idx="214">
                  <c:v>2015-11</c:v>
                </c:pt>
                <c:pt idx="215">
                  <c:v>2015-12</c:v>
                </c:pt>
                <c:pt idx="216">
                  <c:v>2016-01</c:v>
                </c:pt>
                <c:pt idx="217">
                  <c:v>2016-02</c:v>
                </c:pt>
                <c:pt idx="218">
                  <c:v>2016-03</c:v>
                </c:pt>
                <c:pt idx="219">
                  <c:v>2016-04</c:v>
                </c:pt>
                <c:pt idx="220">
                  <c:v>2016-05</c:v>
                </c:pt>
                <c:pt idx="221">
                  <c:v>2016-06</c:v>
                </c:pt>
                <c:pt idx="222">
                  <c:v>2016-07</c:v>
                </c:pt>
                <c:pt idx="223">
                  <c:v>2016-08</c:v>
                </c:pt>
                <c:pt idx="224">
                  <c:v>2016-09</c:v>
                </c:pt>
                <c:pt idx="225">
                  <c:v>2016-10</c:v>
                </c:pt>
                <c:pt idx="226">
                  <c:v>2016-11</c:v>
                </c:pt>
                <c:pt idx="227">
                  <c:v>2016-12</c:v>
                </c:pt>
                <c:pt idx="228">
                  <c:v>2017-01</c:v>
                </c:pt>
                <c:pt idx="229">
                  <c:v>2017-02</c:v>
                </c:pt>
                <c:pt idx="230">
                  <c:v>2017-03</c:v>
                </c:pt>
                <c:pt idx="231">
                  <c:v>2017-04</c:v>
                </c:pt>
                <c:pt idx="232">
                  <c:v>2017-05</c:v>
                </c:pt>
                <c:pt idx="233">
                  <c:v>2017-06</c:v>
                </c:pt>
                <c:pt idx="234">
                  <c:v>2017-07</c:v>
                </c:pt>
                <c:pt idx="235">
                  <c:v>2017-08</c:v>
                </c:pt>
                <c:pt idx="236">
                  <c:v>2017-09</c:v>
                </c:pt>
                <c:pt idx="237">
                  <c:v>2017-10</c:v>
                </c:pt>
                <c:pt idx="238">
                  <c:v>2017-11</c:v>
                </c:pt>
                <c:pt idx="239">
                  <c:v>2017-12</c:v>
                </c:pt>
                <c:pt idx="240">
                  <c:v>2018-01</c:v>
                </c:pt>
                <c:pt idx="241">
                  <c:v>2018-02</c:v>
                </c:pt>
                <c:pt idx="242">
                  <c:v>2018-03</c:v>
                </c:pt>
                <c:pt idx="243">
                  <c:v>2018-04</c:v>
                </c:pt>
                <c:pt idx="244">
                  <c:v>2018-05</c:v>
                </c:pt>
                <c:pt idx="245">
                  <c:v>2018-06</c:v>
                </c:pt>
                <c:pt idx="246">
                  <c:v>2018-07</c:v>
                </c:pt>
                <c:pt idx="247">
                  <c:v>2018-08</c:v>
                </c:pt>
                <c:pt idx="248">
                  <c:v>2018-09</c:v>
                </c:pt>
                <c:pt idx="249">
                  <c:v>2018-10</c:v>
                </c:pt>
                <c:pt idx="250">
                  <c:v>2018-11</c:v>
                </c:pt>
                <c:pt idx="251">
                  <c:v>2018-12</c:v>
                </c:pt>
                <c:pt idx="252">
                  <c:v>2019-01</c:v>
                </c:pt>
                <c:pt idx="253">
                  <c:v>2019-02</c:v>
                </c:pt>
                <c:pt idx="254">
                  <c:v>2019-03</c:v>
                </c:pt>
                <c:pt idx="255">
                  <c:v>2019-04</c:v>
                </c:pt>
                <c:pt idx="256">
                  <c:v>2019-05</c:v>
                </c:pt>
                <c:pt idx="257">
                  <c:v>2019-06</c:v>
                </c:pt>
                <c:pt idx="258">
                  <c:v>2019-07</c:v>
                </c:pt>
                <c:pt idx="259">
                  <c:v>2019-08</c:v>
                </c:pt>
                <c:pt idx="260">
                  <c:v>2019-09</c:v>
                </c:pt>
                <c:pt idx="261">
                  <c:v>2019-10</c:v>
                </c:pt>
                <c:pt idx="262">
                  <c:v>2019-11</c:v>
                </c:pt>
                <c:pt idx="263">
                  <c:v>2019-12</c:v>
                </c:pt>
                <c:pt idx="264">
                  <c:v>2020-01</c:v>
                </c:pt>
                <c:pt idx="265">
                  <c:v>2020-02</c:v>
                </c:pt>
                <c:pt idx="266">
                  <c:v>2020-03</c:v>
                </c:pt>
                <c:pt idx="267">
                  <c:v>2020-04</c:v>
                </c:pt>
                <c:pt idx="268">
                  <c:v>2020-05</c:v>
                </c:pt>
                <c:pt idx="269">
                  <c:v>2020-06</c:v>
                </c:pt>
                <c:pt idx="270">
                  <c:v>2020-07</c:v>
                </c:pt>
                <c:pt idx="271">
                  <c:v>2020-08</c:v>
                </c:pt>
                <c:pt idx="272">
                  <c:v>2020-09</c:v>
                </c:pt>
                <c:pt idx="273">
                  <c:v>2020-10</c:v>
                </c:pt>
                <c:pt idx="274">
                  <c:v>2020-11</c:v>
                </c:pt>
                <c:pt idx="275">
                  <c:v>2020-12</c:v>
                </c:pt>
                <c:pt idx="276">
                  <c:v>2021-01</c:v>
                </c:pt>
                <c:pt idx="277">
                  <c:v>2021-02</c:v>
                </c:pt>
                <c:pt idx="278">
                  <c:v>2021-03</c:v>
                </c:pt>
                <c:pt idx="279">
                  <c:v>2021-04</c:v>
                </c:pt>
                <c:pt idx="280">
                  <c:v>2021-05</c:v>
                </c:pt>
                <c:pt idx="281">
                  <c:v>2021-06</c:v>
                </c:pt>
                <c:pt idx="282">
                  <c:v>2021-07</c:v>
                </c:pt>
                <c:pt idx="283">
                  <c:v>2021-08</c:v>
                </c:pt>
                <c:pt idx="284">
                  <c:v>2021-09</c:v>
                </c:pt>
                <c:pt idx="285">
                  <c:v>2021-10</c:v>
                </c:pt>
                <c:pt idx="286">
                  <c:v>2021-11</c:v>
                </c:pt>
                <c:pt idx="287">
                  <c:v>2021-12</c:v>
                </c:pt>
                <c:pt idx="288">
                  <c:v>2022-01</c:v>
                </c:pt>
                <c:pt idx="289">
                  <c:v>2022-02</c:v>
                </c:pt>
                <c:pt idx="290">
                  <c:v>2022-03</c:v>
                </c:pt>
                <c:pt idx="291">
                  <c:v>2022-04</c:v>
                </c:pt>
                <c:pt idx="292">
                  <c:v>2022-05</c:v>
                </c:pt>
                <c:pt idx="293">
                  <c:v>2022-06</c:v>
                </c:pt>
                <c:pt idx="294">
                  <c:v>2022-07</c:v>
                </c:pt>
                <c:pt idx="295">
                  <c:v>2022-08</c:v>
                </c:pt>
                <c:pt idx="296">
                  <c:v>2022-09</c:v>
                </c:pt>
                <c:pt idx="297">
                  <c:v>2022-10</c:v>
                </c:pt>
                <c:pt idx="298">
                  <c:v>2022-11</c:v>
                </c:pt>
                <c:pt idx="299">
                  <c:v>2022-12</c:v>
                </c:pt>
                <c:pt idx="300">
                  <c:v>2023-01</c:v>
                </c:pt>
                <c:pt idx="301">
                  <c:v>2023-02</c:v>
                </c:pt>
                <c:pt idx="302">
                  <c:v>2023-03</c:v>
                </c:pt>
                <c:pt idx="303">
                  <c:v>2023-04</c:v>
                </c:pt>
                <c:pt idx="304">
                  <c:v>2023-05</c:v>
                </c:pt>
                <c:pt idx="305">
                  <c:v>2023-06</c:v>
                </c:pt>
                <c:pt idx="306">
                  <c:v>2023-07</c:v>
                </c:pt>
                <c:pt idx="307">
                  <c:v>2023-08</c:v>
                </c:pt>
                <c:pt idx="308">
                  <c:v>2023-09</c:v>
                </c:pt>
                <c:pt idx="309">
                  <c:v>2023-10</c:v>
                </c:pt>
                <c:pt idx="310">
                  <c:v>2023-11</c:v>
                </c:pt>
                <c:pt idx="311">
                  <c:v>2023-12</c:v>
                </c:pt>
                <c:pt idx="312">
                  <c:v>2024-01</c:v>
                </c:pt>
                <c:pt idx="313">
                  <c:v>2024-02</c:v>
                </c:pt>
                <c:pt idx="314">
                  <c:v>2024-03</c:v>
                </c:pt>
                <c:pt idx="315">
                  <c:v>2024-04</c:v>
                </c:pt>
                <c:pt idx="316">
                  <c:v>2024-05</c:v>
                </c:pt>
                <c:pt idx="317">
                  <c:v>2024-06</c:v>
                </c:pt>
                <c:pt idx="318">
                  <c:v>2024-07</c:v>
                </c:pt>
                <c:pt idx="319">
                  <c:v>2024-08</c:v>
                </c:pt>
                <c:pt idx="320">
                  <c:v>2024-09</c:v>
                </c:pt>
                <c:pt idx="321">
                  <c:v>2024-10</c:v>
                </c:pt>
                <c:pt idx="322">
                  <c:v>2024-11</c:v>
                </c:pt>
                <c:pt idx="323">
                  <c:v>2024-12</c:v>
                </c:pt>
                <c:pt idx="324">
                  <c:v>2025-01</c:v>
                </c:pt>
                <c:pt idx="325">
                  <c:v>2025-02</c:v>
                </c:pt>
                <c:pt idx="326">
                  <c:v>2025-03</c:v>
                </c:pt>
                <c:pt idx="327">
                  <c:v>2025-04</c:v>
                </c:pt>
                <c:pt idx="328">
                  <c:v>2025-05</c:v>
                </c:pt>
                <c:pt idx="329">
                  <c:v>2025-06</c:v>
                </c:pt>
                <c:pt idx="330">
                  <c:v>2025-07</c:v>
                </c:pt>
                <c:pt idx="331">
                  <c:v>2025-08</c:v>
                </c:pt>
                <c:pt idx="332">
                  <c:v>2025-09</c:v>
                </c:pt>
              </c:strCache>
            </c:strRef>
          </c:cat>
          <c:val>
            <c:numRef>
              <c:f>Pohnpei!$D$3:$D$335</c:f>
              <c:numCache>
                <c:formatCode>General</c:formatCode>
                <c:ptCount val="333"/>
                <c:pt idx="0">
                  <c:v>1.912999777</c:v>
                </c:pt>
                <c:pt idx="1">
                  <c:v>6.0939995380000003</c:v>
                </c:pt>
                <c:pt idx="2">
                  <c:v>1.247499967</c:v>
                </c:pt>
                <c:pt idx="3">
                  <c:v>1.8044998699999999</c:v>
                </c:pt>
                <c:pt idx="4">
                  <c:v>18.401999199999999</c:v>
                </c:pt>
                <c:pt idx="5">
                  <c:v>69.801999581999993</c:v>
                </c:pt>
                <c:pt idx="6">
                  <c:v>757.23199718900003</c:v>
                </c:pt>
                <c:pt idx="7">
                  <c:v>142.804993333</c:v>
                </c:pt>
                <c:pt idx="8">
                  <c:v>83.861997490999997</c:v>
                </c:pt>
                <c:pt idx="9">
                  <c:v>330.51449235199999</c:v>
                </c:pt>
                <c:pt idx="10">
                  <c:v>236.43049727799999</c:v>
                </c:pt>
                <c:pt idx="11">
                  <c:v>491.884984304</c:v>
                </c:pt>
                <c:pt idx="12">
                  <c:v>214.29299407799999</c:v>
                </c:pt>
                <c:pt idx="13">
                  <c:v>195.02299570399899</c:v>
                </c:pt>
                <c:pt idx="14">
                  <c:v>36.005000000000003</c:v>
                </c:pt>
                <c:pt idx="15">
                  <c:v>2.675499904</c:v>
                </c:pt>
                <c:pt idx="16">
                  <c:v>63.586000656000003</c:v>
                </c:pt>
                <c:pt idx="17">
                  <c:v>150.48299786199999</c:v>
                </c:pt>
                <c:pt idx="18">
                  <c:v>390.48149153699899</c:v>
                </c:pt>
                <c:pt idx="19">
                  <c:v>265.46649780600001</c:v>
                </c:pt>
                <c:pt idx="20">
                  <c:v>284.22149063199998</c:v>
                </c:pt>
                <c:pt idx="21">
                  <c:v>323.86549141</c:v>
                </c:pt>
                <c:pt idx="22">
                  <c:v>486.370479897</c:v>
                </c:pt>
                <c:pt idx="23">
                  <c:v>153.26699968899999</c:v>
                </c:pt>
                <c:pt idx="24">
                  <c:v>147.539494862</c:v>
                </c:pt>
                <c:pt idx="25">
                  <c:v>423.74199274099999</c:v>
                </c:pt>
                <c:pt idx="26">
                  <c:v>304.76949327199998</c:v>
                </c:pt>
                <c:pt idx="27">
                  <c:v>435.05549637399997</c:v>
                </c:pt>
                <c:pt idx="28">
                  <c:v>296.601995144</c:v>
                </c:pt>
                <c:pt idx="29">
                  <c:v>361.98699541299999</c:v>
                </c:pt>
                <c:pt idx="30">
                  <c:v>299.50199011799998</c:v>
                </c:pt>
                <c:pt idx="31">
                  <c:v>376.18998560400001</c:v>
                </c:pt>
                <c:pt idx="32">
                  <c:v>143.74199582700001</c:v>
                </c:pt>
                <c:pt idx="33">
                  <c:v>269.17449565599998</c:v>
                </c:pt>
                <c:pt idx="34">
                  <c:v>167.800500126</c:v>
                </c:pt>
                <c:pt idx="35">
                  <c:v>322.99349607699997</c:v>
                </c:pt>
                <c:pt idx="36">
                  <c:v>300.13949571199998</c:v>
                </c:pt>
                <c:pt idx="37">
                  <c:v>85.728997320999994</c:v>
                </c:pt>
                <c:pt idx="38">
                  <c:v>124.415999408</c:v>
                </c:pt>
                <c:pt idx="39">
                  <c:v>225.03399551199999</c:v>
                </c:pt>
                <c:pt idx="40">
                  <c:v>212.70099742100001</c:v>
                </c:pt>
                <c:pt idx="41">
                  <c:v>322.54998990500002</c:v>
                </c:pt>
                <c:pt idx="42">
                  <c:v>314.226489759</c:v>
                </c:pt>
                <c:pt idx="43">
                  <c:v>414.16148807299999</c:v>
                </c:pt>
                <c:pt idx="44">
                  <c:v>137.251996972</c:v>
                </c:pt>
                <c:pt idx="45">
                  <c:v>307.49699229999999</c:v>
                </c:pt>
                <c:pt idx="46">
                  <c:v>145.55149806099999</c:v>
                </c:pt>
                <c:pt idx="47">
                  <c:v>411.03148538400001</c:v>
                </c:pt>
                <c:pt idx="48">
                  <c:v>206.14799642899999</c:v>
                </c:pt>
                <c:pt idx="49">
                  <c:v>185.10849653899999</c:v>
                </c:pt>
                <c:pt idx="50">
                  <c:v>166.65649511999999</c:v>
                </c:pt>
                <c:pt idx="51">
                  <c:v>382.25349059500002</c:v>
                </c:pt>
                <c:pt idx="52">
                  <c:v>548.73599859199999</c:v>
                </c:pt>
                <c:pt idx="53">
                  <c:v>337.06999606400001</c:v>
                </c:pt>
                <c:pt idx="54">
                  <c:v>289.32399949199998</c:v>
                </c:pt>
                <c:pt idx="55">
                  <c:v>303.77599360400001</c:v>
                </c:pt>
                <c:pt idx="56">
                  <c:v>378.56299283700002</c:v>
                </c:pt>
                <c:pt idx="57">
                  <c:v>147.705998846</c:v>
                </c:pt>
                <c:pt idx="58">
                  <c:v>249.588490342</c:v>
                </c:pt>
                <c:pt idx="59">
                  <c:v>177.13749705399999</c:v>
                </c:pt>
                <c:pt idx="60">
                  <c:v>109.837999283</c:v>
                </c:pt>
                <c:pt idx="61">
                  <c:v>132.398495639</c:v>
                </c:pt>
                <c:pt idx="62">
                  <c:v>186.382997569</c:v>
                </c:pt>
                <c:pt idx="63">
                  <c:v>418.68048679100002</c:v>
                </c:pt>
                <c:pt idx="64">
                  <c:v>559.35498949700002</c:v>
                </c:pt>
                <c:pt idx="65">
                  <c:v>246.16149471699899</c:v>
                </c:pt>
                <c:pt idx="66">
                  <c:v>379.91699821499998</c:v>
                </c:pt>
                <c:pt idx="67">
                  <c:v>216.32049245499999</c:v>
                </c:pt>
                <c:pt idx="68">
                  <c:v>463.77099224900002</c:v>
                </c:pt>
                <c:pt idx="69">
                  <c:v>306.997488559999</c:v>
                </c:pt>
                <c:pt idx="70">
                  <c:v>189.80249805099999</c:v>
                </c:pt>
                <c:pt idx="71">
                  <c:v>291.19849602099998</c:v>
                </c:pt>
                <c:pt idx="72">
                  <c:v>136.52399794999999</c:v>
                </c:pt>
                <c:pt idx="73">
                  <c:v>174.39349545799999</c:v>
                </c:pt>
                <c:pt idx="74">
                  <c:v>171.73849648199999</c:v>
                </c:pt>
                <c:pt idx="75">
                  <c:v>395.17298464200002</c:v>
                </c:pt>
                <c:pt idx="76">
                  <c:v>272.32899388099997</c:v>
                </c:pt>
                <c:pt idx="77">
                  <c:v>477.36499071999998</c:v>
                </c:pt>
                <c:pt idx="78">
                  <c:v>238.19249412400001</c:v>
                </c:pt>
                <c:pt idx="79">
                  <c:v>473.53448901799999</c:v>
                </c:pt>
                <c:pt idx="80">
                  <c:v>223.76849448900001</c:v>
                </c:pt>
                <c:pt idx="81">
                  <c:v>275.45549445199998</c:v>
                </c:pt>
                <c:pt idx="82">
                  <c:v>245.84749613599999</c:v>
                </c:pt>
                <c:pt idx="83">
                  <c:v>256.54749533199998</c:v>
                </c:pt>
                <c:pt idx="84">
                  <c:v>243.211495447</c:v>
                </c:pt>
                <c:pt idx="85">
                  <c:v>22.573499958999999</c:v>
                </c:pt>
                <c:pt idx="86">
                  <c:v>309.11699752499999</c:v>
                </c:pt>
                <c:pt idx="87">
                  <c:v>370.06299566299998</c:v>
                </c:pt>
                <c:pt idx="88">
                  <c:v>402.28299408300001</c:v>
                </c:pt>
                <c:pt idx="89">
                  <c:v>315.166991910999</c:v>
                </c:pt>
                <c:pt idx="90">
                  <c:v>220.45549508799999</c:v>
                </c:pt>
                <c:pt idx="91">
                  <c:v>225.84599045799999</c:v>
                </c:pt>
                <c:pt idx="92">
                  <c:v>345.69049520200002</c:v>
                </c:pt>
                <c:pt idx="93">
                  <c:v>213.904493815</c:v>
                </c:pt>
                <c:pt idx="94">
                  <c:v>407.75998777000001</c:v>
                </c:pt>
                <c:pt idx="95">
                  <c:v>182.12099929799999</c:v>
                </c:pt>
                <c:pt idx="96">
                  <c:v>114.42199925600001</c:v>
                </c:pt>
                <c:pt idx="97">
                  <c:v>123.012997427</c:v>
                </c:pt>
                <c:pt idx="98">
                  <c:v>114.45099600899999</c:v>
                </c:pt>
                <c:pt idx="99">
                  <c:v>170.60700102800001</c:v>
                </c:pt>
                <c:pt idx="100">
                  <c:v>229.708494003</c:v>
                </c:pt>
                <c:pt idx="101">
                  <c:v>297.66999554199998</c:v>
                </c:pt>
                <c:pt idx="102">
                  <c:v>324.38399482300002</c:v>
                </c:pt>
                <c:pt idx="103">
                  <c:v>314.11249746800002</c:v>
                </c:pt>
                <c:pt idx="104">
                  <c:v>288.94749145600002</c:v>
                </c:pt>
                <c:pt idx="105">
                  <c:v>296.35449595599999</c:v>
                </c:pt>
                <c:pt idx="106">
                  <c:v>264.85749350499998</c:v>
                </c:pt>
                <c:pt idx="107">
                  <c:v>196.108994196</c:v>
                </c:pt>
                <c:pt idx="108">
                  <c:v>36.206000168000003</c:v>
                </c:pt>
                <c:pt idx="109">
                  <c:v>346.53099123700002</c:v>
                </c:pt>
                <c:pt idx="110">
                  <c:v>247.41749267200001</c:v>
                </c:pt>
                <c:pt idx="111">
                  <c:v>214.59449633899999</c:v>
                </c:pt>
                <c:pt idx="112">
                  <c:v>347.27299683199999</c:v>
                </c:pt>
                <c:pt idx="113">
                  <c:v>211.20649699200001</c:v>
                </c:pt>
                <c:pt idx="114">
                  <c:v>184.83999733300001</c:v>
                </c:pt>
                <c:pt idx="115">
                  <c:v>204.41599563299999</c:v>
                </c:pt>
                <c:pt idx="116">
                  <c:v>255.04399512500001</c:v>
                </c:pt>
                <c:pt idx="117">
                  <c:v>339.57749462599998</c:v>
                </c:pt>
                <c:pt idx="118">
                  <c:v>393.95799672599998</c:v>
                </c:pt>
                <c:pt idx="119">
                  <c:v>196.61499840299999</c:v>
                </c:pt>
                <c:pt idx="120">
                  <c:v>150.41499740899999</c:v>
                </c:pt>
                <c:pt idx="121">
                  <c:v>111.18649701299999</c:v>
                </c:pt>
                <c:pt idx="122">
                  <c:v>217.69999286999999</c:v>
                </c:pt>
                <c:pt idx="123">
                  <c:v>418.661488228</c:v>
                </c:pt>
                <c:pt idx="124">
                  <c:v>300.377495404</c:v>
                </c:pt>
                <c:pt idx="125">
                  <c:v>292.51749488000002</c:v>
                </c:pt>
                <c:pt idx="126">
                  <c:v>202.927992491</c:v>
                </c:pt>
                <c:pt idx="127">
                  <c:v>159.291996692</c:v>
                </c:pt>
                <c:pt idx="128">
                  <c:v>373.83649199600001</c:v>
                </c:pt>
                <c:pt idx="129">
                  <c:v>357.89549530900001</c:v>
                </c:pt>
                <c:pt idx="130">
                  <c:v>288.68598980799999</c:v>
                </c:pt>
                <c:pt idx="131">
                  <c:v>158.387496798</c:v>
                </c:pt>
                <c:pt idx="132">
                  <c:v>160.816996816</c:v>
                </c:pt>
                <c:pt idx="133">
                  <c:v>119.921994946</c:v>
                </c:pt>
                <c:pt idx="134">
                  <c:v>178.85949447600001</c:v>
                </c:pt>
                <c:pt idx="135">
                  <c:v>189.53549696300001</c:v>
                </c:pt>
                <c:pt idx="136">
                  <c:v>195.34399464199899</c:v>
                </c:pt>
                <c:pt idx="137">
                  <c:v>197.16149387900001</c:v>
                </c:pt>
                <c:pt idx="138">
                  <c:v>464.44599565599998</c:v>
                </c:pt>
                <c:pt idx="139">
                  <c:v>168.82799586900001</c:v>
                </c:pt>
                <c:pt idx="140">
                  <c:v>435.84548918199999</c:v>
                </c:pt>
                <c:pt idx="141">
                  <c:v>212.81349862499999</c:v>
                </c:pt>
                <c:pt idx="142">
                  <c:v>359.60649356800002</c:v>
                </c:pt>
                <c:pt idx="143">
                  <c:v>175.76699352</c:v>
                </c:pt>
                <c:pt idx="144">
                  <c:v>164.473998263</c:v>
                </c:pt>
                <c:pt idx="145">
                  <c:v>16.415499486000002</c:v>
                </c:pt>
                <c:pt idx="146">
                  <c:v>130.378498009</c:v>
                </c:pt>
                <c:pt idx="147">
                  <c:v>290.35199336099998</c:v>
                </c:pt>
                <c:pt idx="148">
                  <c:v>228.567995051</c:v>
                </c:pt>
                <c:pt idx="149">
                  <c:v>216.740493367</c:v>
                </c:pt>
                <c:pt idx="150">
                  <c:v>308.78799413299998</c:v>
                </c:pt>
                <c:pt idx="151">
                  <c:v>271.46899203300001</c:v>
                </c:pt>
                <c:pt idx="152">
                  <c:v>333.73398945899999</c:v>
                </c:pt>
                <c:pt idx="153">
                  <c:v>263.57049316199999</c:v>
                </c:pt>
                <c:pt idx="154">
                  <c:v>228.70549462100001</c:v>
                </c:pt>
                <c:pt idx="155">
                  <c:v>250.24049273399999</c:v>
                </c:pt>
                <c:pt idx="156">
                  <c:v>277.24048784399997</c:v>
                </c:pt>
                <c:pt idx="157">
                  <c:v>306.56749189999999</c:v>
                </c:pt>
                <c:pt idx="158">
                  <c:v>308.18549280100001</c:v>
                </c:pt>
                <c:pt idx="159">
                  <c:v>175.725997965</c:v>
                </c:pt>
                <c:pt idx="160">
                  <c:v>406.31049039300001</c:v>
                </c:pt>
                <c:pt idx="161">
                  <c:v>379.42349679099999</c:v>
                </c:pt>
                <c:pt idx="162">
                  <c:v>309.44099097100002</c:v>
                </c:pt>
                <c:pt idx="163">
                  <c:v>332.217991869</c:v>
                </c:pt>
                <c:pt idx="164">
                  <c:v>256.131994959</c:v>
                </c:pt>
                <c:pt idx="165">
                  <c:v>272.11449293800001</c:v>
                </c:pt>
                <c:pt idx="166">
                  <c:v>419.16749636700001</c:v>
                </c:pt>
                <c:pt idx="167">
                  <c:v>222.32349786399999</c:v>
                </c:pt>
                <c:pt idx="168">
                  <c:v>151.43899433999999</c:v>
                </c:pt>
                <c:pt idx="169">
                  <c:v>289.34899413900001</c:v>
                </c:pt>
                <c:pt idx="170">
                  <c:v>106.13700039299999</c:v>
                </c:pt>
                <c:pt idx="171">
                  <c:v>107.252997247</c:v>
                </c:pt>
                <c:pt idx="172">
                  <c:v>417.01099048700002</c:v>
                </c:pt>
                <c:pt idx="173">
                  <c:v>304.92149070200003</c:v>
                </c:pt>
                <c:pt idx="174">
                  <c:v>373.29098762400002</c:v>
                </c:pt>
                <c:pt idx="175">
                  <c:v>321.39898862199999</c:v>
                </c:pt>
                <c:pt idx="176">
                  <c:v>268.10649709699999</c:v>
                </c:pt>
                <c:pt idx="177">
                  <c:v>240.23699606599999</c:v>
                </c:pt>
                <c:pt idx="178">
                  <c:v>232.89049504799999</c:v>
                </c:pt>
                <c:pt idx="179">
                  <c:v>160.982497545</c:v>
                </c:pt>
                <c:pt idx="180">
                  <c:v>154.04449678500001</c:v>
                </c:pt>
                <c:pt idx="181">
                  <c:v>157.99799569999999</c:v>
                </c:pt>
                <c:pt idx="182">
                  <c:v>149.43399568799899</c:v>
                </c:pt>
                <c:pt idx="183">
                  <c:v>271.68349264800003</c:v>
                </c:pt>
                <c:pt idx="184">
                  <c:v>132.47549820399999</c:v>
                </c:pt>
                <c:pt idx="185">
                  <c:v>245.292992876</c:v>
                </c:pt>
                <c:pt idx="186">
                  <c:v>249.287993844</c:v>
                </c:pt>
                <c:pt idx="187">
                  <c:v>180.30599692199999</c:v>
                </c:pt>
                <c:pt idx="188">
                  <c:v>318.464986068999</c:v>
                </c:pt>
                <c:pt idx="189">
                  <c:v>368.11649290299999</c:v>
                </c:pt>
                <c:pt idx="190">
                  <c:v>403.71749011499998</c:v>
                </c:pt>
                <c:pt idx="191">
                  <c:v>85.184999085000001</c:v>
                </c:pt>
                <c:pt idx="192">
                  <c:v>215.737492573</c:v>
                </c:pt>
                <c:pt idx="193">
                  <c:v>319.93299626499999</c:v>
                </c:pt>
                <c:pt idx="194">
                  <c:v>197.09099730099999</c:v>
                </c:pt>
                <c:pt idx="195">
                  <c:v>196.039998325</c:v>
                </c:pt>
                <c:pt idx="196">
                  <c:v>211.68749986699899</c:v>
                </c:pt>
                <c:pt idx="197">
                  <c:v>254.20999682600001</c:v>
                </c:pt>
                <c:pt idx="198">
                  <c:v>547.44048610899995</c:v>
                </c:pt>
                <c:pt idx="199">
                  <c:v>223.95199049999999</c:v>
                </c:pt>
                <c:pt idx="200">
                  <c:v>371.488485846</c:v>
                </c:pt>
                <c:pt idx="201">
                  <c:v>464.77499266699999</c:v>
                </c:pt>
                <c:pt idx="202">
                  <c:v>283.27399673999997</c:v>
                </c:pt>
                <c:pt idx="203">
                  <c:v>263.60249470299999</c:v>
                </c:pt>
                <c:pt idx="204">
                  <c:v>202.41399411200001</c:v>
                </c:pt>
                <c:pt idx="205">
                  <c:v>185.21049476799999</c:v>
                </c:pt>
                <c:pt idx="206">
                  <c:v>430.50998441000002</c:v>
                </c:pt>
                <c:pt idx="207">
                  <c:v>409.91598648899998</c:v>
                </c:pt>
                <c:pt idx="208">
                  <c:v>594.94199960399999</c:v>
                </c:pt>
                <c:pt idx="209">
                  <c:v>312.105485767</c:v>
                </c:pt>
                <c:pt idx="210">
                  <c:v>424.40399297300002</c:v>
                </c:pt>
                <c:pt idx="211">
                  <c:v>378.793492378</c:v>
                </c:pt>
                <c:pt idx="212">
                  <c:v>317.31049304499999</c:v>
                </c:pt>
                <c:pt idx="213">
                  <c:v>219.74849577500001</c:v>
                </c:pt>
                <c:pt idx="214">
                  <c:v>104.426498083</c:v>
                </c:pt>
                <c:pt idx="215">
                  <c:v>150.56949789499899</c:v>
                </c:pt>
                <c:pt idx="216">
                  <c:v>237.75398526999999</c:v>
                </c:pt>
                <c:pt idx="217">
                  <c:v>46.142999525999997</c:v>
                </c:pt>
                <c:pt idx="218">
                  <c:v>64.808500246999998</c:v>
                </c:pt>
                <c:pt idx="219">
                  <c:v>103.39399732699999</c:v>
                </c:pt>
                <c:pt idx="220">
                  <c:v>246.75249600499899</c:v>
                </c:pt>
                <c:pt idx="221">
                  <c:v>312.28099228299999</c:v>
                </c:pt>
                <c:pt idx="222">
                  <c:v>248.82399779100001</c:v>
                </c:pt>
                <c:pt idx="223">
                  <c:v>238.34399609600001</c:v>
                </c:pt>
                <c:pt idx="224">
                  <c:v>326.724991429</c:v>
                </c:pt>
                <c:pt idx="225">
                  <c:v>339.38649038699998</c:v>
                </c:pt>
                <c:pt idx="226">
                  <c:v>290.936991756</c:v>
                </c:pt>
                <c:pt idx="227">
                  <c:v>316.477491558</c:v>
                </c:pt>
                <c:pt idx="228">
                  <c:v>316.060993376</c:v>
                </c:pt>
                <c:pt idx="229">
                  <c:v>111.869499234</c:v>
                </c:pt>
                <c:pt idx="230">
                  <c:v>250.428493941</c:v>
                </c:pt>
                <c:pt idx="231">
                  <c:v>322.01649629399998</c:v>
                </c:pt>
                <c:pt idx="232">
                  <c:v>271.30199396099999</c:v>
                </c:pt>
                <c:pt idx="233">
                  <c:v>418.29448450299998</c:v>
                </c:pt>
                <c:pt idx="234">
                  <c:v>280.04849226699997</c:v>
                </c:pt>
                <c:pt idx="235">
                  <c:v>163.369493879</c:v>
                </c:pt>
                <c:pt idx="236">
                  <c:v>268.02449213</c:v>
                </c:pt>
                <c:pt idx="237">
                  <c:v>316.72349596599997</c:v>
                </c:pt>
                <c:pt idx="238">
                  <c:v>367.22599679199999</c:v>
                </c:pt>
                <c:pt idx="239">
                  <c:v>327.724496060999</c:v>
                </c:pt>
                <c:pt idx="240">
                  <c:v>329.13149046799998</c:v>
                </c:pt>
                <c:pt idx="241">
                  <c:v>223.25549895</c:v>
                </c:pt>
                <c:pt idx="242">
                  <c:v>650.91848699000002</c:v>
                </c:pt>
                <c:pt idx="243">
                  <c:v>307.582487399</c:v>
                </c:pt>
                <c:pt idx="244">
                  <c:v>429.93698684999998</c:v>
                </c:pt>
                <c:pt idx="245">
                  <c:v>297.004989357</c:v>
                </c:pt>
                <c:pt idx="246">
                  <c:v>564.775987267</c:v>
                </c:pt>
                <c:pt idx="247">
                  <c:v>484.62898834399999</c:v>
                </c:pt>
                <c:pt idx="248">
                  <c:v>346.32098651299998</c:v>
                </c:pt>
                <c:pt idx="249">
                  <c:v>302.25749122100001</c:v>
                </c:pt>
                <c:pt idx="250">
                  <c:v>180.84749511199999</c:v>
                </c:pt>
                <c:pt idx="251">
                  <c:v>244.64399524000001</c:v>
                </c:pt>
                <c:pt idx="252">
                  <c:v>405.86349219900001</c:v>
                </c:pt>
                <c:pt idx="253">
                  <c:v>166.39399695</c:v>
                </c:pt>
                <c:pt idx="254">
                  <c:v>240.97599311100001</c:v>
                </c:pt>
                <c:pt idx="255">
                  <c:v>152.255995348</c:v>
                </c:pt>
                <c:pt idx="256">
                  <c:v>179.396498423</c:v>
                </c:pt>
                <c:pt idx="257">
                  <c:v>332.83699783399999</c:v>
                </c:pt>
                <c:pt idx="258">
                  <c:v>320.460493866999</c:v>
                </c:pt>
                <c:pt idx="259">
                  <c:v>475.60098315599998</c:v>
                </c:pt>
                <c:pt idx="260">
                  <c:v>296.19949275499999</c:v>
                </c:pt>
                <c:pt idx="261">
                  <c:v>365.693990617</c:v>
                </c:pt>
                <c:pt idx="262">
                  <c:v>482.92798981700003</c:v>
                </c:pt>
                <c:pt idx="263">
                  <c:v>335.49949209800002</c:v>
                </c:pt>
                <c:pt idx="264">
                  <c:v>95.979499017999999</c:v>
                </c:pt>
                <c:pt idx="265">
                  <c:v>84.290499870000005</c:v>
                </c:pt>
                <c:pt idx="266">
                  <c:v>70.096998330000005</c:v>
                </c:pt>
                <c:pt idx="267">
                  <c:v>322.40899227699998</c:v>
                </c:pt>
                <c:pt idx="268">
                  <c:v>570.35498875099995</c:v>
                </c:pt>
                <c:pt idx="269">
                  <c:v>289.993492747</c:v>
                </c:pt>
                <c:pt idx="270">
                  <c:v>189.026995481</c:v>
                </c:pt>
                <c:pt idx="271">
                  <c:v>253.91899414400001</c:v>
                </c:pt>
                <c:pt idx="272">
                  <c:v>298.87399286900001</c:v>
                </c:pt>
                <c:pt idx="273">
                  <c:v>520.54548946800003</c:v>
                </c:pt>
                <c:pt idx="274">
                  <c:v>587.10848530500004</c:v>
                </c:pt>
                <c:pt idx="275">
                  <c:v>456.30798414700001</c:v>
                </c:pt>
                <c:pt idx="276">
                  <c:v>151.882500937</c:v>
                </c:pt>
                <c:pt idx="277">
                  <c:v>92.990995980999998</c:v>
                </c:pt>
                <c:pt idx="278">
                  <c:v>495.93499067300002</c:v>
                </c:pt>
                <c:pt idx="279">
                  <c:v>334.71549177499998</c:v>
                </c:pt>
                <c:pt idx="280">
                  <c:v>491.32949254699997</c:v>
                </c:pt>
                <c:pt idx="281">
                  <c:v>284.75849307300001</c:v>
                </c:pt>
                <c:pt idx="282">
                  <c:v>413.73499279100002</c:v>
                </c:pt>
                <c:pt idx="283">
                  <c:v>269.34149629400002</c:v>
                </c:pt>
                <c:pt idx="284">
                  <c:v>402.18398779300003</c:v>
                </c:pt>
                <c:pt idx="285">
                  <c:v>374.77298799200003</c:v>
                </c:pt>
                <c:pt idx="286">
                  <c:v>337.84849186399998</c:v>
                </c:pt>
                <c:pt idx="287">
                  <c:v>198.96099542499999</c:v>
                </c:pt>
                <c:pt idx="288">
                  <c:v>133.18649598900001</c:v>
                </c:pt>
                <c:pt idx="289">
                  <c:v>255.65698879199999</c:v>
                </c:pt>
                <c:pt idx="290">
                  <c:v>474.799993454</c:v>
                </c:pt>
                <c:pt idx="291">
                  <c:v>419.515989096</c:v>
                </c:pt>
                <c:pt idx="292">
                  <c:v>384.16198719900001</c:v>
                </c:pt>
                <c:pt idx="293">
                  <c:v>247.064988683</c:v>
                </c:pt>
                <c:pt idx="294">
                  <c:v>514.99299313799997</c:v>
                </c:pt>
                <c:pt idx="295">
                  <c:v>490.59548776600002</c:v>
                </c:pt>
                <c:pt idx="296">
                  <c:v>430.44548840200002</c:v>
                </c:pt>
                <c:pt idx="297">
                  <c:v>524.31998344700003</c:v>
                </c:pt>
                <c:pt idx="298">
                  <c:v>276.68899321399999</c:v>
                </c:pt>
                <c:pt idx="299">
                  <c:v>253.08449108400001</c:v>
                </c:pt>
                <c:pt idx="300">
                  <c:v>172.060493579</c:v>
                </c:pt>
                <c:pt idx="301">
                  <c:v>189.36699834500001</c:v>
                </c:pt>
                <c:pt idx="302">
                  <c:v>189.326996256</c:v>
                </c:pt>
                <c:pt idx="303">
                  <c:v>378.79199612799999</c:v>
                </c:pt>
                <c:pt idx="304">
                  <c:v>386.54799550199999</c:v>
                </c:pt>
                <c:pt idx="305">
                  <c:v>431.677988916</c:v>
                </c:pt>
                <c:pt idx="306">
                  <c:v>307.280992126</c:v>
                </c:pt>
                <c:pt idx="307">
                  <c:v>414.437492886999</c:v>
                </c:pt>
                <c:pt idx="308">
                  <c:v>422.99348935699999</c:v>
                </c:pt>
                <c:pt idx="309">
                  <c:v>422.92248329099999</c:v>
                </c:pt>
                <c:pt idx="310">
                  <c:v>429.00648980400001</c:v>
                </c:pt>
                <c:pt idx="311">
                  <c:v>120.14249789</c:v>
                </c:pt>
                <c:pt idx="312">
                  <c:v>86.383997794999999</c:v>
                </c:pt>
                <c:pt idx="313">
                  <c:v>233.88299367400001</c:v>
                </c:pt>
                <c:pt idx="314">
                  <c:v>179.63599830300001</c:v>
                </c:pt>
                <c:pt idx="315">
                  <c:v>441.55599048300002</c:v>
                </c:pt>
                <c:pt idx="316">
                  <c:v>442.62449084799999</c:v>
                </c:pt>
                <c:pt idx="317">
                  <c:v>226.053497499</c:v>
                </c:pt>
                <c:pt idx="318">
                  <c:v>385.28849257799999</c:v>
                </c:pt>
                <c:pt idx="319">
                  <c:v>245.50399265900001</c:v>
                </c:pt>
                <c:pt idx="320">
                  <c:v>322.86499265100002</c:v>
                </c:pt>
                <c:pt idx="321">
                  <c:v>435.24048978000002</c:v>
                </c:pt>
                <c:pt idx="322">
                  <c:v>195.179996257</c:v>
                </c:pt>
                <c:pt idx="323">
                  <c:v>407.18149051699999</c:v>
                </c:pt>
                <c:pt idx="324">
                  <c:v>175.608997558</c:v>
                </c:pt>
                <c:pt idx="325">
                  <c:v>79.482499056999998</c:v>
                </c:pt>
                <c:pt idx="326">
                  <c:v>174.37399464999999</c:v>
                </c:pt>
                <c:pt idx="327">
                  <c:v>221.66199231799999</c:v>
                </c:pt>
                <c:pt idx="328">
                  <c:v>237.29000005699999</c:v>
                </c:pt>
                <c:pt idx="329">
                  <c:v>203.938992007</c:v>
                </c:pt>
                <c:pt idx="330">
                  <c:v>311.58549738300002</c:v>
                </c:pt>
                <c:pt idx="331">
                  <c:v>396.73549311900001</c:v>
                </c:pt>
                <c:pt idx="332">
                  <c:v>291.56499311599998</c:v>
                </c:pt>
              </c:numCache>
            </c:numRef>
          </c:val>
          <c:extLst>
            <c:ext xmlns:c16="http://schemas.microsoft.com/office/drawing/2014/chart" uri="{C3380CC4-5D6E-409C-BE32-E72D297353CC}">
              <c16:uniqueId val="{00000000-5888-4E91-8A72-BA2778A8CBF6}"/>
            </c:ext>
          </c:extLst>
        </c:ser>
        <c:dLbls>
          <c:showLegendKey val="0"/>
          <c:showVal val="0"/>
          <c:showCatName val="0"/>
          <c:showSerName val="0"/>
          <c:showPercent val="0"/>
          <c:showBubbleSize val="0"/>
        </c:dLbls>
        <c:gapWidth val="150"/>
        <c:axId val="1672825040"/>
        <c:axId val="1672797200"/>
      </c:barChart>
      <c:catAx>
        <c:axId val="167282504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year-month</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out"/>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200" b="0" i="0" u="none" strike="noStrike" kern="1200" baseline="0">
                <a:solidFill>
                  <a:schemeClr val="tx1">
                    <a:lumMod val="65000"/>
                    <a:lumOff val="35000"/>
                  </a:schemeClr>
                </a:solidFill>
                <a:latin typeface="Univers 57 Condensed" pitchFamily="50" charset="0"/>
                <a:ea typeface="+mn-ea"/>
                <a:cs typeface="+mn-cs"/>
              </a:defRPr>
            </a:pPr>
            <a:endParaRPr lang="en-US"/>
          </a:p>
        </c:txPr>
        <c:crossAx val="1672797200"/>
        <c:crosses val="autoZero"/>
        <c:auto val="1"/>
        <c:lblAlgn val="ctr"/>
        <c:lblOffset val="100"/>
        <c:noMultiLvlLbl val="0"/>
      </c:catAx>
      <c:valAx>
        <c:axId val="1672797200"/>
        <c:scaling>
          <c:orientation val="minMax"/>
        </c:scaling>
        <c:delete val="0"/>
        <c:axPos val="l"/>
        <c:majorGridlines>
          <c:spPr>
            <a:ln w="9525" cap="flat" cmpd="sng" algn="ctr">
              <a:solidFill>
                <a:schemeClr val="bg1">
                  <a:lumMod val="75000"/>
                </a:schemeClr>
              </a:solidFill>
              <a:round/>
            </a:ln>
            <a:effectLst/>
          </c:spPr>
        </c:majorGridlines>
        <c:title>
          <c:tx>
            <c:rich>
              <a:bodyPr rot="-5400000" spcFirstLastPara="1" vertOverflow="ellipsis" vert="horz" wrap="square" anchor="ctr" anchorCtr="1"/>
              <a:lstStyle/>
              <a:p>
                <a:pPr>
                  <a:defRPr sz="1200" b="0" i="0" u="none" strike="noStrike" kern="1200" baseline="0">
                    <a:solidFill>
                      <a:schemeClr val="tx1">
                        <a:lumMod val="65000"/>
                        <a:lumOff val="35000"/>
                      </a:schemeClr>
                    </a:solidFill>
                    <a:latin typeface="Univers 57 Condensed" pitchFamily="50" charset="0"/>
                    <a:ea typeface="+mn-ea"/>
                    <a:cs typeface="+mn-cs"/>
                  </a:defRPr>
                </a:pPr>
                <a:r>
                  <a:rPr lang="en-US" sz="1200">
                    <a:latin typeface="Univers 57 Condensed" pitchFamily="50" charset="0"/>
                  </a:rPr>
                  <a:t>P (mm)</a:t>
                </a:r>
              </a:p>
            </c:rich>
          </c:tx>
          <c:overlay val="0"/>
          <c:spPr>
            <a:noFill/>
            <a:ln>
              <a:noFill/>
            </a:ln>
            <a:effectLst/>
          </c:spPr>
          <c:txPr>
            <a:bodyPr rot="-5400000" spcFirstLastPara="1" vertOverflow="ellipsis" vert="horz" wrap="square" anchor="ctr" anchorCtr="1"/>
            <a:lstStyle/>
            <a:p>
              <a:pPr>
                <a:defRPr sz="1200" b="0" i="0" u="none" strike="noStrike" kern="1200" baseline="0">
                  <a:solidFill>
                    <a:schemeClr val="tx1">
                      <a:lumMod val="65000"/>
                      <a:lumOff val="35000"/>
                    </a:schemeClr>
                  </a:solidFill>
                  <a:latin typeface="Univers 57 Condensed" pitchFamily="50" charset="0"/>
                  <a:ea typeface="+mn-ea"/>
                  <a:cs typeface="+mn-cs"/>
                </a:defRPr>
              </a:pPr>
              <a:endParaRPr lang="en-US"/>
            </a:p>
          </c:txPr>
        </c:title>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1200" b="0" i="0" u="none" strike="noStrike" kern="1200" baseline="0">
                <a:solidFill>
                  <a:schemeClr val="tx1">
                    <a:lumMod val="65000"/>
                    <a:lumOff val="35000"/>
                  </a:schemeClr>
                </a:solidFill>
                <a:latin typeface="Univers 57 Condensed" pitchFamily="50" charset="0"/>
                <a:ea typeface="+mn-ea"/>
                <a:cs typeface="+mn-cs"/>
              </a:defRPr>
            </a:pPr>
            <a:endParaRPr lang="en-US"/>
          </a:p>
        </c:txPr>
        <c:crossAx val="1672825040"/>
        <c:crosses val="autoZero"/>
        <c:crossBetween val="between"/>
      </c:valAx>
      <c:spPr>
        <a:noFill/>
        <a:ln>
          <a:solidFill>
            <a:schemeClr val="bg1">
              <a:lumMod val="75000"/>
            </a:schemeClr>
          </a:solid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a:pPr>
      <a:endParaRPr lang="en-US"/>
    </a:p>
  </c:txPr>
  <c:externalData r:id="rId3">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1369994616057608"/>
          <c:y val="0.11650811415780638"/>
          <c:w val="0.84997526751463748"/>
          <c:h val="0.70359739106366281"/>
        </c:manualLayout>
      </c:layout>
      <c:barChart>
        <c:barDir val="col"/>
        <c:grouping val="clustered"/>
        <c:varyColors val="0"/>
        <c:ser>
          <c:idx val="0"/>
          <c:order val="0"/>
          <c:spPr>
            <a:solidFill>
              <a:schemeClr val="tx2">
                <a:lumMod val="40000"/>
                <a:lumOff val="60000"/>
              </a:schemeClr>
            </a:solidFill>
            <a:ln>
              <a:solidFill>
                <a:schemeClr val="bg1">
                  <a:lumMod val="95000"/>
                </a:schemeClr>
              </a:solidFill>
            </a:ln>
            <a:effectLst/>
          </c:spPr>
          <c:invertIfNegative val="0"/>
          <c:dLbls>
            <c:delete val="1"/>
          </c:dLbls>
          <c:cat>
            <c:numRef>
              <c:f>Pohnpei!$L$3:$L$29</c:f>
              <c:numCache>
                <c:formatCode>General</c:formatCode>
                <c:ptCount val="27"/>
                <c:pt idx="0">
                  <c:v>1998</c:v>
                </c:pt>
                <c:pt idx="1">
                  <c:v>1999</c:v>
                </c:pt>
                <c:pt idx="2">
                  <c:v>2000</c:v>
                </c:pt>
                <c:pt idx="3">
                  <c:v>2001</c:v>
                </c:pt>
                <c:pt idx="4">
                  <c:v>2002</c:v>
                </c:pt>
                <c:pt idx="5">
                  <c:v>2003</c:v>
                </c:pt>
                <c:pt idx="6">
                  <c:v>2004</c:v>
                </c:pt>
                <c:pt idx="7">
                  <c:v>2005</c:v>
                </c:pt>
                <c:pt idx="8">
                  <c:v>2006</c:v>
                </c:pt>
                <c:pt idx="9">
                  <c:v>2007</c:v>
                </c:pt>
                <c:pt idx="10">
                  <c:v>2008</c:v>
                </c:pt>
                <c:pt idx="11">
                  <c:v>2009</c:v>
                </c:pt>
                <c:pt idx="12">
                  <c:v>2010</c:v>
                </c:pt>
                <c:pt idx="13">
                  <c:v>2011</c:v>
                </c:pt>
                <c:pt idx="14">
                  <c:v>2012</c:v>
                </c:pt>
                <c:pt idx="15">
                  <c:v>2013</c:v>
                </c:pt>
                <c:pt idx="16">
                  <c:v>2014</c:v>
                </c:pt>
                <c:pt idx="17">
                  <c:v>2015</c:v>
                </c:pt>
                <c:pt idx="18">
                  <c:v>2016</c:v>
                </c:pt>
                <c:pt idx="19">
                  <c:v>2017</c:v>
                </c:pt>
                <c:pt idx="20">
                  <c:v>2018</c:v>
                </c:pt>
                <c:pt idx="21">
                  <c:v>2019</c:v>
                </c:pt>
                <c:pt idx="22">
                  <c:v>2020</c:v>
                </c:pt>
                <c:pt idx="23">
                  <c:v>2021</c:v>
                </c:pt>
                <c:pt idx="24">
                  <c:v>2022</c:v>
                </c:pt>
                <c:pt idx="25">
                  <c:v>2023</c:v>
                </c:pt>
                <c:pt idx="26">
                  <c:v>2024</c:v>
                </c:pt>
              </c:numCache>
            </c:numRef>
          </c:cat>
          <c:val>
            <c:numRef>
              <c:f>Pohnpei!$M$3:$M$29</c:f>
              <c:numCache>
                <c:formatCode>General</c:formatCode>
                <c:ptCount val="27"/>
                <c:pt idx="0">
                  <c:v>2141.9919598810002</c:v>
                </c:pt>
                <c:pt idx="1">
                  <c:v>2565.7379391750001</c:v>
                </c:pt>
                <c:pt idx="2">
                  <c:v>3549.0979312139998</c:v>
                </c:pt>
                <c:pt idx="3">
                  <c:v>3000.2894258279998</c:v>
                </c:pt>
                <c:pt idx="4">
                  <c:v>3372.0674455140002</c:v>
                </c:pt>
                <c:pt idx="5">
                  <c:v>3500.823429047</c:v>
                </c:pt>
                <c:pt idx="6">
                  <c:v>3340.8689226840002</c:v>
                </c:pt>
                <c:pt idx="7">
                  <c:v>3258.1924362189998</c:v>
                </c:pt>
                <c:pt idx="8">
                  <c:v>2734.6364506690002</c:v>
                </c:pt>
                <c:pt idx="9">
                  <c:v>2977.6789520860002</c:v>
                </c:pt>
                <c:pt idx="10">
                  <c:v>3031.8834288980001</c:v>
                </c:pt>
                <c:pt idx="11">
                  <c:v>2858.9459381420002</c:v>
                </c:pt>
                <c:pt idx="12">
                  <c:v>2703.4359336789998</c:v>
                </c:pt>
                <c:pt idx="13">
                  <c:v>3664.8499226620002</c:v>
                </c:pt>
                <c:pt idx="14">
                  <c:v>2973.0169293099998</c:v>
                </c:pt>
                <c:pt idx="15">
                  <c:v>2716.0064308390001</c:v>
                </c:pt>
                <c:pt idx="16">
                  <c:v>3549.2314277219998</c:v>
                </c:pt>
                <c:pt idx="17">
                  <c:v>3730.3504152989999</c:v>
                </c:pt>
                <c:pt idx="18">
                  <c:v>2771.826929675</c:v>
                </c:pt>
                <c:pt idx="19">
                  <c:v>3413.0884284039998</c:v>
                </c:pt>
                <c:pt idx="20">
                  <c:v>4361.304883711</c:v>
                </c:pt>
                <c:pt idx="21">
                  <c:v>3754.1054161749998</c:v>
                </c:pt>
                <c:pt idx="22">
                  <c:v>3738.9064124070001</c:v>
                </c:pt>
                <c:pt idx="23">
                  <c:v>3848.4549171449999</c:v>
                </c:pt>
                <c:pt idx="24">
                  <c:v>4404.5138802640004</c:v>
                </c:pt>
                <c:pt idx="25">
                  <c:v>3864.5559140810001</c:v>
                </c:pt>
                <c:pt idx="26">
                  <c:v>3601.3964230440001</c:v>
                </c:pt>
              </c:numCache>
            </c:numRef>
          </c:val>
          <c:extLst>
            <c:ext xmlns:c16="http://schemas.microsoft.com/office/drawing/2014/chart" uri="{C3380CC4-5D6E-409C-BE32-E72D297353CC}">
              <c16:uniqueId val="{00000000-ADBC-4898-BDDF-958889AA6A0C}"/>
            </c:ext>
          </c:extLst>
        </c:ser>
        <c:dLbls>
          <c:dLblPos val="inEnd"/>
          <c:showLegendKey val="0"/>
          <c:showVal val="1"/>
          <c:showCatName val="0"/>
          <c:showSerName val="0"/>
          <c:showPercent val="0"/>
          <c:showBubbleSize val="0"/>
        </c:dLbls>
        <c:gapWidth val="0"/>
        <c:overlap val="-27"/>
        <c:axId val="725900591"/>
        <c:axId val="725898671"/>
      </c:barChart>
      <c:catAx>
        <c:axId val="725900591"/>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year</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100" b="0" i="0" u="none" strike="noStrike" kern="1200" baseline="0">
                <a:solidFill>
                  <a:schemeClr val="tx1">
                    <a:lumMod val="65000"/>
                    <a:lumOff val="35000"/>
                  </a:schemeClr>
                </a:solidFill>
                <a:latin typeface="Univers 57 Condensed" pitchFamily="50" charset="0"/>
                <a:ea typeface="+mn-ea"/>
                <a:cs typeface="+mn-cs"/>
              </a:defRPr>
            </a:pPr>
            <a:endParaRPr lang="en-US"/>
          </a:p>
        </c:txPr>
        <c:crossAx val="725898671"/>
        <c:crosses val="autoZero"/>
        <c:auto val="1"/>
        <c:lblAlgn val="ctr"/>
        <c:lblOffset val="100"/>
        <c:noMultiLvlLbl val="0"/>
      </c:catAx>
      <c:valAx>
        <c:axId val="725898671"/>
        <c:scaling>
          <c:orientation val="minMax"/>
          <c:max val="500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200" b="0" i="0" u="none" strike="noStrike" kern="1200" baseline="0">
                    <a:solidFill>
                      <a:schemeClr val="tx1">
                        <a:lumMod val="65000"/>
                        <a:lumOff val="35000"/>
                      </a:schemeClr>
                    </a:solidFill>
                    <a:latin typeface="Univers 57 Condensed" pitchFamily="50" charset="0"/>
                    <a:ea typeface="+mn-ea"/>
                    <a:cs typeface="+mn-cs"/>
                  </a:defRPr>
                </a:pPr>
                <a:r>
                  <a:rPr lang="en-US" sz="1200">
                    <a:latin typeface="Univers 57 Condensed" pitchFamily="50" charset="0"/>
                  </a:rPr>
                  <a:t>P (mm)</a:t>
                </a:r>
              </a:p>
            </c:rich>
          </c:tx>
          <c:overlay val="0"/>
          <c:spPr>
            <a:noFill/>
            <a:ln>
              <a:noFill/>
            </a:ln>
            <a:effectLst/>
          </c:spPr>
          <c:txPr>
            <a:bodyPr rot="-5400000" spcFirstLastPara="1" vertOverflow="ellipsis" vert="horz" wrap="square" anchor="ctr" anchorCtr="1"/>
            <a:lstStyle/>
            <a:p>
              <a:pPr>
                <a:defRPr sz="1200" b="0" i="0" u="none" strike="noStrike" kern="1200" baseline="0">
                  <a:solidFill>
                    <a:schemeClr val="tx1">
                      <a:lumMod val="65000"/>
                      <a:lumOff val="35000"/>
                    </a:schemeClr>
                  </a:solidFill>
                  <a:latin typeface="Univers 57 Condensed" pitchFamily="50" charset="0"/>
                  <a:ea typeface="+mn-ea"/>
                  <a:cs typeface="+mn-cs"/>
                </a:defRPr>
              </a:pPr>
              <a:endParaRPr lang="en-US"/>
            </a:p>
          </c:txPr>
        </c:title>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1200" b="0" i="0" u="none" strike="noStrike" kern="1200" baseline="0">
                <a:solidFill>
                  <a:schemeClr val="tx1">
                    <a:lumMod val="65000"/>
                    <a:lumOff val="35000"/>
                  </a:schemeClr>
                </a:solidFill>
                <a:latin typeface="Univers 57 Condensed" pitchFamily="50" charset="0"/>
                <a:ea typeface="+mn-ea"/>
                <a:cs typeface="+mn-cs"/>
              </a:defRPr>
            </a:pPr>
            <a:endParaRPr lang="en-US"/>
          </a:p>
        </c:txPr>
        <c:crossAx val="725900591"/>
        <c:crosses val="autoZero"/>
        <c:crossBetween val="between"/>
        <c:majorUnit val="1000"/>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a:pPr>
      <a:endParaRPr lang="en-US"/>
    </a:p>
  </c:txPr>
  <c:externalData r:id="rId3">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areaChart>
        <c:grouping val="standard"/>
        <c:varyColors val="0"/>
        <c:ser>
          <c:idx val="0"/>
          <c:order val="0"/>
          <c:tx>
            <c:strRef>
              <c:f>Pohnpei!$I$1</c:f>
              <c:strCache>
                <c:ptCount val="1"/>
                <c:pt idx="0">
                  <c:v>IMERG</c:v>
                </c:pt>
              </c:strCache>
            </c:strRef>
          </c:tx>
          <c:spPr>
            <a:pattFill prst="ltDnDiag">
              <a:fgClr>
                <a:srgbClr val="002060"/>
              </a:fgClr>
              <a:bgClr>
                <a:schemeClr val="bg1"/>
              </a:bgClr>
            </a:pattFill>
            <a:ln>
              <a:noFill/>
            </a:ln>
            <a:effectLst/>
          </c:spPr>
          <c:val>
            <c:numRef>
              <c:f>Pohnpei!$I$3:$I$14</c:f>
              <c:numCache>
                <c:formatCode>0.00</c:formatCode>
                <c:ptCount val="12"/>
                <c:pt idx="0">
                  <c:v>187.9565154352</c:v>
                </c:pt>
                <c:pt idx="1">
                  <c:v>176.15685607440005</c:v>
                </c:pt>
                <c:pt idx="2">
                  <c:v>222.12679167692588</c:v>
                </c:pt>
                <c:pt idx="3">
                  <c:v>276.19799385448152</c:v>
                </c:pt>
                <c:pt idx="4">
                  <c:v>327.41105011285168</c:v>
                </c:pt>
                <c:pt idx="5">
                  <c:v>290.06669698855546</c:v>
                </c:pt>
                <c:pt idx="6">
                  <c:v>351.96351180685184</c:v>
                </c:pt>
                <c:pt idx="7">
                  <c:v>296.61580716896299</c:v>
                </c:pt>
                <c:pt idx="8">
                  <c:v>310.90415866044435</c:v>
                </c:pt>
                <c:pt idx="9">
                  <c:v>326.37706657729626</c:v>
                </c:pt>
                <c:pt idx="10">
                  <c:v>305.78562304307411</c:v>
                </c:pt>
                <c:pt idx="11">
                  <c:v>252.07356851562952</c:v>
                </c:pt>
              </c:numCache>
            </c:numRef>
          </c:val>
          <c:extLst>
            <c:ext xmlns:c16="http://schemas.microsoft.com/office/drawing/2014/chart" uri="{C3380CC4-5D6E-409C-BE32-E72D297353CC}">
              <c16:uniqueId val="{00000000-9982-425E-A9C9-3FC63D0856C3}"/>
            </c:ext>
          </c:extLst>
        </c:ser>
        <c:ser>
          <c:idx val="1"/>
          <c:order val="1"/>
          <c:tx>
            <c:strRef>
              <c:f>Pohnpei!$J$1</c:f>
              <c:strCache>
                <c:ptCount val="1"/>
                <c:pt idx="0">
                  <c:v>SSEBop</c:v>
                </c:pt>
              </c:strCache>
            </c:strRef>
          </c:tx>
          <c:spPr>
            <a:solidFill>
              <a:schemeClr val="accent3">
                <a:lumMod val="75000"/>
              </a:schemeClr>
            </a:solidFill>
            <a:ln>
              <a:solidFill>
                <a:schemeClr val="accent3">
                  <a:lumMod val="75000"/>
                </a:schemeClr>
              </a:solidFill>
            </a:ln>
            <a:effectLst/>
          </c:spPr>
          <c:val>
            <c:numRef>
              <c:f>Pohnpei!$J$3:$J$14</c:f>
              <c:numCache>
                <c:formatCode>0.00</c:formatCode>
                <c:ptCount val="12"/>
                <c:pt idx="0">
                  <c:v>100.03051391862913</c:v>
                </c:pt>
                <c:pt idx="1">
                  <c:v>103.79086251930146</c:v>
                </c:pt>
                <c:pt idx="2">
                  <c:v>114.33174106407469</c:v>
                </c:pt>
                <c:pt idx="3">
                  <c:v>109.6259265359903</c:v>
                </c:pt>
                <c:pt idx="4">
                  <c:v>104.87975621808556</c:v>
                </c:pt>
                <c:pt idx="5">
                  <c:v>106.60599571734431</c:v>
                </c:pt>
                <c:pt idx="6">
                  <c:v>106.82770548509255</c:v>
                </c:pt>
                <c:pt idx="7">
                  <c:v>110.24279360896001</c:v>
                </c:pt>
                <c:pt idx="8">
                  <c:v>106.04332070499056</c:v>
                </c:pt>
                <c:pt idx="9">
                  <c:v>108.71157964091532</c:v>
                </c:pt>
                <c:pt idx="10">
                  <c:v>97.074122879261978</c:v>
                </c:pt>
                <c:pt idx="11">
                  <c:v>98.406852248393818</c:v>
                </c:pt>
              </c:numCache>
            </c:numRef>
          </c:val>
          <c:extLst>
            <c:ext xmlns:c16="http://schemas.microsoft.com/office/drawing/2014/chart" uri="{C3380CC4-5D6E-409C-BE32-E72D297353CC}">
              <c16:uniqueId val="{00000001-9982-425E-A9C9-3FC63D0856C3}"/>
            </c:ext>
          </c:extLst>
        </c:ser>
        <c:dLbls>
          <c:showLegendKey val="0"/>
          <c:showVal val="0"/>
          <c:showCatName val="0"/>
          <c:showSerName val="0"/>
          <c:showPercent val="0"/>
          <c:showBubbleSize val="0"/>
        </c:dLbls>
        <c:axId val="750042767"/>
        <c:axId val="750044207"/>
      </c:areaChart>
      <c:catAx>
        <c:axId val="750042767"/>
        <c:scaling>
          <c:orientation val="minMax"/>
        </c:scaling>
        <c:delete val="0"/>
        <c:axPos val="b"/>
        <c:title>
          <c:tx>
            <c:rich>
              <a:bodyPr rot="0" spcFirstLastPara="1" vertOverflow="ellipsis" vert="horz" wrap="square" anchor="ctr" anchorCtr="1"/>
              <a:lstStyle/>
              <a:p>
                <a:pPr>
                  <a:defRPr sz="1200" b="0" i="0" u="none" strike="noStrike" kern="1200" baseline="0">
                    <a:solidFill>
                      <a:schemeClr val="tx1"/>
                    </a:solidFill>
                    <a:latin typeface="Univers 57 Condensed" pitchFamily="50" charset="0"/>
                    <a:ea typeface="+mn-ea"/>
                    <a:cs typeface="+mn-cs"/>
                  </a:defRPr>
                </a:pPr>
                <a:r>
                  <a:rPr lang="en-US" sz="1200">
                    <a:solidFill>
                      <a:schemeClr val="tx1"/>
                    </a:solidFill>
                    <a:latin typeface="Univers 57 Condensed" pitchFamily="50" charset="0"/>
                  </a:rPr>
                  <a:t>month</a:t>
                </a:r>
              </a:p>
            </c:rich>
          </c:tx>
          <c:overlay val="0"/>
          <c:spPr>
            <a:noFill/>
            <a:ln>
              <a:noFill/>
            </a:ln>
            <a:effectLst/>
          </c:spPr>
          <c:txPr>
            <a:bodyPr rot="0" spcFirstLastPara="1" vertOverflow="ellipsis" vert="horz" wrap="square" anchor="ctr" anchorCtr="1"/>
            <a:lstStyle/>
            <a:p>
              <a:pPr>
                <a:defRPr sz="1200" b="0" i="0" u="none" strike="noStrike" kern="1200" baseline="0">
                  <a:solidFill>
                    <a:schemeClr val="tx1"/>
                  </a:solidFill>
                  <a:latin typeface="Univers 57 Condensed" pitchFamily="50" charset="0"/>
                  <a:ea typeface="+mn-ea"/>
                  <a:cs typeface="+mn-cs"/>
                </a:defRPr>
              </a:pPr>
              <a:endParaRPr lang="en-US"/>
            </a:p>
          </c:txPr>
        </c:title>
        <c:majorTickMark val="out"/>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200" b="0" i="0" u="none" strike="noStrike" kern="1200" baseline="0">
                <a:solidFill>
                  <a:schemeClr val="tx1"/>
                </a:solidFill>
                <a:latin typeface="Univers 57 Condensed" pitchFamily="50" charset="0"/>
                <a:ea typeface="+mn-ea"/>
                <a:cs typeface="+mn-cs"/>
              </a:defRPr>
            </a:pPr>
            <a:endParaRPr lang="en-US"/>
          </a:p>
        </c:txPr>
        <c:crossAx val="750044207"/>
        <c:crosses val="autoZero"/>
        <c:auto val="1"/>
        <c:lblAlgn val="ctr"/>
        <c:lblOffset val="100"/>
        <c:noMultiLvlLbl val="0"/>
      </c:catAx>
      <c:valAx>
        <c:axId val="750044207"/>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200" b="0" i="0" u="none" strike="noStrike" kern="1200" baseline="0">
                    <a:solidFill>
                      <a:schemeClr val="tx1"/>
                    </a:solidFill>
                    <a:latin typeface="Univers 57 Condensed" pitchFamily="50" charset="0"/>
                    <a:ea typeface="+mn-ea"/>
                    <a:cs typeface="+mn-cs"/>
                  </a:defRPr>
                </a:pPr>
                <a:r>
                  <a:rPr lang="en-US" sz="1200">
                    <a:solidFill>
                      <a:schemeClr val="tx1"/>
                    </a:solidFill>
                    <a:latin typeface="Univers 57 Condensed" pitchFamily="50" charset="0"/>
                  </a:rPr>
                  <a:t>ETa (mm)                    P (mm)</a:t>
                </a:r>
              </a:p>
            </c:rich>
          </c:tx>
          <c:layout>
            <c:manualLayout>
              <c:xMode val="edge"/>
              <c:yMode val="edge"/>
              <c:x val="1.568443367655966E-2"/>
              <c:y val="0.25049173196825175"/>
            </c:manualLayout>
          </c:layout>
          <c:overlay val="0"/>
          <c:spPr>
            <a:noFill/>
            <a:ln>
              <a:noFill/>
            </a:ln>
            <a:effectLst/>
          </c:spPr>
          <c:txPr>
            <a:bodyPr rot="-5400000" spcFirstLastPara="1" vertOverflow="ellipsis" vert="horz" wrap="square" anchor="ctr" anchorCtr="1"/>
            <a:lstStyle/>
            <a:p>
              <a:pPr>
                <a:defRPr sz="1200" b="0" i="0" u="none" strike="noStrike" kern="1200" baseline="0">
                  <a:solidFill>
                    <a:schemeClr val="tx1"/>
                  </a:solidFill>
                  <a:latin typeface="Univers 57 Condensed" pitchFamily="50" charset="0"/>
                  <a:ea typeface="+mn-ea"/>
                  <a:cs typeface="+mn-cs"/>
                </a:defRPr>
              </a:pPr>
              <a:endParaRPr lang="en-US"/>
            </a:p>
          </c:txPr>
        </c:title>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1200" b="0" i="0" u="none" strike="noStrike" kern="1200" baseline="0">
                <a:solidFill>
                  <a:schemeClr val="tx1"/>
                </a:solidFill>
                <a:latin typeface="Univers 57 Condensed" pitchFamily="50" charset="0"/>
                <a:ea typeface="+mn-ea"/>
                <a:cs typeface="+mn-cs"/>
              </a:defRPr>
            </a:pPr>
            <a:endParaRPr lang="en-US"/>
          </a:p>
        </c:txPr>
        <c:crossAx val="750042767"/>
        <c:crosses val="autoZero"/>
        <c:crossBetween val="midCat"/>
      </c:valAx>
      <c:spPr>
        <a:noFill/>
        <a:ln>
          <a:solidFill>
            <a:schemeClr val="bg1">
              <a:lumMod val="75000"/>
            </a:schemeClr>
          </a:solid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a:pPr>
      <a:endParaRPr lang="en-US"/>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0.xml><?xml version="1.0" encoding="utf-8"?>
<cs:chartStyle xmlns:cs="http://schemas.microsoft.com/office/drawing/2012/chartStyle" xmlns:a="http://schemas.openxmlformats.org/drawingml/2006/main" id="205">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effectRef idx="0"/>
    <cs:fontRef idx="minor">
      <a:schemeClr val="lt1"/>
    </cs:fontRef>
    <cs:defRPr sz="900" b="1" i="0" u="none" strike="noStrike" kern="1200" baseline="0"/>
  </cs:dataLabel>
  <cs:dataLabelCallout>
    <cs:lnRef idx="0"/>
    <cs:fillRef idx="0"/>
    <cs:effectRef idx="0"/>
    <cs:fontRef idx="minor">
      <a:schemeClr val="lt1"/>
    </cs:fontRef>
    <cs:spPr>
      <a:solidFill>
        <a:schemeClr val="dk1">
          <a:lumMod val="65000"/>
          <a:lumOff val="35000"/>
          <a:alpha val="75000"/>
        </a:schemeClr>
      </a:solidFill>
    </cs:spPr>
    <cs:defRPr sz="900" b="1"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alpha val="85000"/>
        </a:schemeClr>
      </a:solidFill>
      <a:ln w="9525" cap="flat" cmpd="sng" algn="ctr">
        <a:solidFill>
          <a:schemeClr val="lt1">
            <a:alpha val="50000"/>
          </a:schemeClr>
        </a:solidFill>
        <a:round/>
      </a:ln>
    </cs:spPr>
  </cs:dataPoint>
  <cs:dataPoint3D>
    <cs:lnRef idx="0"/>
    <cs:fillRef idx="0">
      <cs:styleClr val="auto"/>
    </cs:fillRef>
    <cs:effectRef idx="0"/>
    <cs:fontRef idx="minor">
      <a:schemeClr val="dk1"/>
    </cs:fontRef>
    <cs:spPr>
      <a:solidFill>
        <a:schemeClr val="phClr">
          <a:alpha val="85000"/>
        </a:schemeClr>
      </a:solidFill>
      <a:ln w="9525" cap="flat" cmpd="sng" algn="ctr">
        <a:solidFill>
          <a:schemeClr val="lt1">
            <a:alpha val="50000"/>
          </a:schemeClr>
        </a:solidFill>
        <a:round/>
      </a:ln>
    </cs:spPr>
  </cs:dataPoint3D>
  <cs:dataPointLine>
    <cs:lnRef idx="0">
      <cs:styleClr val="auto"/>
    </cs:lnRef>
    <cs:fillRef idx="0"/>
    <cs:effectRef idx="0"/>
    <cs:fontRef idx="minor">
      <a:schemeClr val="dk1"/>
    </cs:fontRef>
    <cs:spPr>
      <a:ln w="31750" cap="rnd">
        <a:solidFill>
          <a:schemeClr val="phClr">
            <a:alpha val="85000"/>
          </a:schemeClr>
        </a:solidFill>
        <a:round/>
      </a:ln>
    </cs:spPr>
  </cs:dataPointLine>
  <cs:dataPointMarker>
    <cs:lnRef idx="0"/>
    <cs:fillRef idx="0">
      <cs:styleClr val="auto"/>
    </cs:fillRef>
    <cs:effectRef idx="0"/>
    <cs:fontRef idx="minor">
      <a:schemeClr val="dk1"/>
    </cs:fontRef>
    <cs:spPr>
      <a:solidFill>
        <a:schemeClr val="phClr">
          <a:alpha val="85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gradFill>
          <a:gsLst>
            <a:gs pos="100000">
              <a:schemeClr val="dk1">
                <a:lumMod val="95000"/>
                <a:lumOff val="5000"/>
                <a:alpha val="42000"/>
              </a:schemeClr>
            </a:gs>
            <a:gs pos="0">
              <a:schemeClr val="lt1">
                <a:lumMod val="75000"/>
                <a:alpha val="36000"/>
              </a:schemeClr>
            </a:gs>
          </a:gsLst>
          <a:lin ang="5400000" scaled="0"/>
        </a:gradFill>
        <a:round/>
      </a:ln>
    </cs:spPr>
  </cs:gridlineMajor>
  <cs:gridlineMinor>
    <cs:lnRef idx="0"/>
    <cs:fillRef idx="0"/>
    <cs:effectRef idx="0"/>
    <cs:fontRef idx="minor">
      <a:schemeClr val="dk1"/>
    </cs:fontRef>
    <cs:spPr>
      <a:ln>
        <a:gradFill>
          <a:gsLst>
            <a:gs pos="100000">
              <a:schemeClr val="dk1">
                <a:lumMod val="95000"/>
                <a:lumOff val="5000"/>
                <a:alpha val="42000"/>
              </a:schemeClr>
            </a:gs>
            <a:gs pos="0">
              <a:schemeClr val="lt1">
                <a:lumMod val="75000"/>
                <a:alpha val="36000"/>
              </a:schemeClr>
            </a:gs>
          </a:gsLst>
          <a:lin ang="5400000" scaled="0"/>
        </a:gradFill>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a:ln w="31750" cap="flat" cmpd="sng" algn="ctr">
        <a:solidFill>
          <a:schemeClr val="dk1">
            <a:lumMod val="75000"/>
            <a:lumOff val="25000"/>
          </a:schemeClr>
        </a:solidFill>
        <a:round/>
      </a:ln>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charts/style1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2.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3.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4.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5.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6.xml><?xml version="1.0" encoding="utf-8"?>
<cs:chartStyle xmlns:cs="http://schemas.microsoft.com/office/drawing/2012/chartStyle" xmlns:a="http://schemas.openxmlformats.org/drawingml/2006/main" id="205">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effectRef idx="0"/>
    <cs:fontRef idx="minor">
      <a:schemeClr val="lt1"/>
    </cs:fontRef>
    <cs:defRPr sz="900" b="1" i="0" u="none" strike="noStrike" kern="1200" baseline="0"/>
  </cs:dataLabel>
  <cs:dataLabelCallout>
    <cs:lnRef idx="0"/>
    <cs:fillRef idx="0"/>
    <cs:effectRef idx="0"/>
    <cs:fontRef idx="minor">
      <a:schemeClr val="lt1"/>
    </cs:fontRef>
    <cs:spPr>
      <a:solidFill>
        <a:schemeClr val="dk1">
          <a:lumMod val="65000"/>
          <a:lumOff val="35000"/>
          <a:alpha val="75000"/>
        </a:schemeClr>
      </a:solidFill>
    </cs:spPr>
    <cs:defRPr sz="900" b="1"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alpha val="85000"/>
        </a:schemeClr>
      </a:solidFill>
      <a:ln w="9525" cap="flat" cmpd="sng" algn="ctr">
        <a:solidFill>
          <a:schemeClr val="lt1">
            <a:alpha val="50000"/>
          </a:schemeClr>
        </a:solidFill>
        <a:round/>
      </a:ln>
    </cs:spPr>
  </cs:dataPoint>
  <cs:dataPoint3D>
    <cs:lnRef idx="0"/>
    <cs:fillRef idx="0">
      <cs:styleClr val="auto"/>
    </cs:fillRef>
    <cs:effectRef idx="0"/>
    <cs:fontRef idx="minor">
      <a:schemeClr val="dk1"/>
    </cs:fontRef>
    <cs:spPr>
      <a:solidFill>
        <a:schemeClr val="phClr">
          <a:alpha val="85000"/>
        </a:schemeClr>
      </a:solidFill>
      <a:ln w="9525" cap="flat" cmpd="sng" algn="ctr">
        <a:solidFill>
          <a:schemeClr val="lt1">
            <a:alpha val="50000"/>
          </a:schemeClr>
        </a:solidFill>
        <a:round/>
      </a:ln>
    </cs:spPr>
  </cs:dataPoint3D>
  <cs:dataPointLine>
    <cs:lnRef idx="0">
      <cs:styleClr val="auto"/>
    </cs:lnRef>
    <cs:fillRef idx="0"/>
    <cs:effectRef idx="0"/>
    <cs:fontRef idx="minor">
      <a:schemeClr val="dk1"/>
    </cs:fontRef>
    <cs:spPr>
      <a:ln w="31750" cap="rnd">
        <a:solidFill>
          <a:schemeClr val="phClr">
            <a:alpha val="85000"/>
          </a:schemeClr>
        </a:solidFill>
        <a:round/>
      </a:ln>
    </cs:spPr>
  </cs:dataPointLine>
  <cs:dataPointMarker>
    <cs:lnRef idx="0"/>
    <cs:fillRef idx="0">
      <cs:styleClr val="auto"/>
    </cs:fillRef>
    <cs:effectRef idx="0"/>
    <cs:fontRef idx="minor">
      <a:schemeClr val="dk1"/>
    </cs:fontRef>
    <cs:spPr>
      <a:solidFill>
        <a:schemeClr val="phClr">
          <a:alpha val="85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gradFill>
          <a:gsLst>
            <a:gs pos="100000">
              <a:schemeClr val="dk1">
                <a:lumMod val="95000"/>
                <a:lumOff val="5000"/>
                <a:alpha val="42000"/>
              </a:schemeClr>
            </a:gs>
            <a:gs pos="0">
              <a:schemeClr val="lt1">
                <a:lumMod val="75000"/>
                <a:alpha val="36000"/>
              </a:schemeClr>
            </a:gs>
          </a:gsLst>
          <a:lin ang="5400000" scaled="0"/>
        </a:gradFill>
        <a:round/>
      </a:ln>
    </cs:spPr>
  </cs:gridlineMajor>
  <cs:gridlineMinor>
    <cs:lnRef idx="0"/>
    <cs:fillRef idx="0"/>
    <cs:effectRef idx="0"/>
    <cs:fontRef idx="minor">
      <a:schemeClr val="dk1"/>
    </cs:fontRef>
    <cs:spPr>
      <a:ln>
        <a:gradFill>
          <a:gsLst>
            <a:gs pos="100000">
              <a:schemeClr val="dk1">
                <a:lumMod val="95000"/>
                <a:lumOff val="5000"/>
                <a:alpha val="42000"/>
              </a:schemeClr>
            </a:gs>
            <a:gs pos="0">
              <a:schemeClr val="lt1">
                <a:lumMod val="75000"/>
                <a:alpha val="36000"/>
              </a:schemeClr>
            </a:gs>
          </a:gsLst>
          <a:lin ang="5400000" scaled="0"/>
        </a:gradFill>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a:ln w="31750" cap="flat" cmpd="sng" algn="ctr">
        <a:solidFill>
          <a:schemeClr val="dk1">
            <a:lumMod val="75000"/>
            <a:lumOff val="25000"/>
          </a:schemeClr>
        </a:solidFill>
        <a:round/>
      </a:ln>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charts/style17.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8.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9.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0.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1.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2.xml><?xml version="1.0" encoding="utf-8"?>
<cs:chartStyle xmlns:cs="http://schemas.microsoft.com/office/drawing/2012/chartStyle" xmlns:a="http://schemas.openxmlformats.org/drawingml/2006/main" id="205">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effectRef idx="0"/>
    <cs:fontRef idx="minor">
      <a:schemeClr val="lt1"/>
    </cs:fontRef>
    <cs:defRPr sz="900" b="1" i="0" u="none" strike="noStrike" kern="1200" baseline="0"/>
  </cs:dataLabel>
  <cs:dataLabelCallout>
    <cs:lnRef idx="0"/>
    <cs:fillRef idx="0"/>
    <cs:effectRef idx="0"/>
    <cs:fontRef idx="minor">
      <a:schemeClr val="lt1"/>
    </cs:fontRef>
    <cs:spPr>
      <a:solidFill>
        <a:schemeClr val="dk1">
          <a:lumMod val="65000"/>
          <a:lumOff val="35000"/>
          <a:alpha val="75000"/>
        </a:schemeClr>
      </a:solidFill>
    </cs:spPr>
    <cs:defRPr sz="900" b="1"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alpha val="85000"/>
        </a:schemeClr>
      </a:solidFill>
      <a:ln w="9525" cap="flat" cmpd="sng" algn="ctr">
        <a:solidFill>
          <a:schemeClr val="lt1">
            <a:alpha val="50000"/>
          </a:schemeClr>
        </a:solidFill>
        <a:round/>
      </a:ln>
    </cs:spPr>
  </cs:dataPoint>
  <cs:dataPoint3D>
    <cs:lnRef idx="0"/>
    <cs:fillRef idx="0">
      <cs:styleClr val="auto"/>
    </cs:fillRef>
    <cs:effectRef idx="0"/>
    <cs:fontRef idx="minor">
      <a:schemeClr val="dk1"/>
    </cs:fontRef>
    <cs:spPr>
      <a:solidFill>
        <a:schemeClr val="phClr">
          <a:alpha val="85000"/>
        </a:schemeClr>
      </a:solidFill>
      <a:ln w="9525" cap="flat" cmpd="sng" algn="ctr">
        <a:solidFill>
          <a:schemeClr val="lt1">
            <a:alpha val="50000"/>
          </a:schemeClr>
        </a:solidFill>
        <a:round/>
      </a:ln>
    </cs:spPr>
  </cs:dataPoint3D>
  <cs:dataPointLine>
    <cs:lnRef idx="0">
      <cs:styleClr val="auto"/>
    </cs:lnRef>
    <cs:fillRef idx="0"/>
    <cs:effectRef idx="0"/>
    <cs:fontRef idx="minor">
      <a:schemeClr val="dk1"/>
    </cs:fontRef>
    <cs:spPr>
      <a:ln w="31750" cap="rnd">
        <a:solidFill>
          <a:schemeClr val="phClr">
            <a:alpha val="85000"/>
          </a:schemeClr>
        </a:solidFill>
        <a:round/>
      </a:ln>
    </cs:spPr>
  </cs:dataPointLine>
  <cs:dataPointMarker>
    <cs:lnRef idx="0"/>
    <cs:fillRef idx="0">
      <cs:styleClr val="auto"/>
    </cs:fillRef>
    <cs:effectRef idx="0"/>
    <cs:fontRef idx="minor">
      <a:schemeClr val="dk1"/>
    </cs:fontRef>
    <cs:spPr>
      <a:solidFill>
        <a:schemeClr val="phClr">
          <a:alpha val="85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gradFill>
          <a:gsLst>
            <a:gs pos="100000">
              <a:schemeClr val="dk1">
                <a:lumMod val="95000"/>
                <a:lumOff val="5000"/>
                <a:alpha val="42000"/>
              </a:schemeClr>
            </a:gs>
            <a:gs pos="0">
              <a:schemeClr val="lt1">
                <a:lumMod val="75000"/>
                <a:alpha val="36000"/>
              </a:schemeClr>
            </a:gs>
          </a:gsLst>
          <a:lin ang="5400000" scaled="0"/>
        </a:gradFill>
        <a:round/>
      </a:ln>
    </cs:spPr>
  </cs:gridlineMajor>
  <cs:gridlineMinor>
    <cs:lnRef idx="0"/>
    <cs:fillRef idx="0"/>
    <cs:effectRef idx="0"/>
    <cs:fontRef idx="minor">
      <a:schemeClr val="dk1"/>
    </cs:fontRef>
    <cs:spPr>
      <a:ln>
        <a:gradFill>
          <a:gsLst>
            <a:gs pos="100000">
              <a:schemeClr val="dk1">
                <a:lumMod val="95000"/>
                <a:lumOff val="5000"/>
                <a:alpha val="42000"/>
              </a:schemeClr>
            </a:gs>
            <a:gs pos="0">
              <a:schemeClr val="lt1">
                <a:lumMod val="75000"/>
                <a:alpha val="36000"/>
              </a:schemeClr>
            </a:gs>
          </a:gsLst>
          <a:lin ang="5400000" scaled="0"/>
        </a:gradFill>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a:ln w="31750" cap="flat" cmpd="sng" algn="ctr">
        <a:solidFill>
          <a:schemeClr val="dk1">
            <a:lumMod val="75000"/>
            <a:lumOff val="25000"/>
          </a:schemeClr>
        </a:solidFill>
        <a:round/>
      </a:ln>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charts/style23.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4.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05">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effectRef idx="0"/>
    <cs:fontRef idx="minor">
      <a:schemeClr val="lt1"/>
    </cs:fontRef>
    <cs:defRPr sz="900" b="1" i="0" u="none" strike="noStrike" kern="1200" baseline="0"/>
  </cs:dataLabel>
  <cs:dataLabelCallout>
    <cs:lnRef idx="0"/>
    <cs:fillRef idx="0"/>
    <cs:effectRef idx="0"/>
    <cs:fontRef idx="minor">
      <a:schemeClr val="lt1"/>
    </cs:fontRef>
    <cs:spPr>
      <a:solidFill>
        <a:schemeClr val="dk1">
          <a:lumMod val="65000"/>
          <a:lumOff val="35000"/>
          <a:alpha val="75000"/>
        </a:schemeClr>
      </a:solidFill>
    </cs:spPr>
    <cs:defRPr sz="900" b="1"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alpha val="85000"/>
        </a:schemeClr>
      </a:solidFill>
      <a:ln w="9525" cap="flat" cmpd="sng" algn="ctr">
        <a:solidFill>
          <a:schemeClr val="lt1">
            <a:alpha val="50000"/>
          </a:schemeClr>
        </a:solidFill>
        <a:round/>
      </a:ln>
    </cs:spPr>
  </cs:dataPoint>
  <cs:dataPoint3D>
    <cs:lnRef idx="0"/>
    <cs:fillRef idx="0">
      <cs:styleClr val="auto"/>
    </cs:fillRef>
    <cs:effectRef idx="0"/>
    <cs:fontRef idx="minor">
      <a:schemeClr val="dk1"/>
    </cs:fontRef>
    <cs:spPr>
      <a:solidFill>
        <a:schemeClr val="phClr">
          <a:alpha val="85000"/>
        </a:schemeClr>
      </a:solidFill>
      <a:ln w="9525" cap="flat" cmpd="sng" algn="ctr">
        <a:solidFill>
          <a:schemeClr val="lt1">
            <a:alpha val="50000"/>
          </a:schemeClr>
        </a:solidFill>
        <a:round/>
      </a:ln>
    </cs:spPr>
  </cs:dataPoint3D>
  <cs:dataPointLine>
    <cs:lnRef idx="0">
      <cs:styleClr val="auto"/>
    </cs:lnRef>
    <cs:fillRef idx="0"/>
    <cs:effectRef idx="0"/>
    <cs:fontRef idx="minor">
      <a:schemeClr val="dk1"/>
    </cs:fontRef>
    <cs:spPr>
      <a:ln w="31750" cap="rnd">
        <a:solidFill>
          <a:schemeClr val="phClr">
            <a:alpha val="85000"/>
          </a:schemeClr>
        </a:solidFill>
        <a:round/>
      </a:ln>
    </cs:spPr>
  </cs:dataPointLine>
  <cs:dataPointMarker>
    <cs:lnRef idx="0"/>
    <cs:fillRef idx="0">
      <cs:styleClr val="auto"/>
    </cs:fillRef>
    <cs:effectRef idx="0"/>
    <cs:fontRef idx="minor">
      <a:schemeClr val="dk1"/>
    </cs:fontRef>
    <cs:spPr>
      <a:solidFill>
        <a:schemeClr val="phClr">
          <a:alpha val="85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gradFill>
          <a:gsLst>
            <a:gs pos="100000">
              <a:schemeClr val="dk1">
                <a:lumMod val="95000"/>
                <a:lumOff val="5000"/>
                <a:alpha val="42000"/>
              </a:schemeClr>
            </a:gs>
            <a:gs pos="0">
              <a:schemeClr val="lt1">
                <a:lumMod val="75000"/>
                <a:alpha val="36000"/>
              </a:schemeClr>
            </a:gs>
          </a:gsLst>
          <a:lin ang="5400000" scaled="0"/>
        </a:gradFill>
        <a:round/>
      </a:ln>
    </cs:spPr>
  </cs:gridlineMajor>
  <cs:gridlineMinor>
    <cs:lnRef idx="0"/>
    <cs:fillRef idx="0"/>
    <cs:effectRef idx="0"/>
    <cs:fontRef idx="minor">
      <a:schemeClr val="dk1"/>
    </cs:fontRef>
    <cs:spPr>
      <a:ln>
        <a:gradFill>
          <a:gsLst>
            <a:gs pos="100000">
              <a:schemeClr val="dk1">
                <a:lumMod val="95000"/>
                <a:lumOff val="5000"/>
                <a:alpha val="42000"/>
              </a:schemeClr>
            </a:gs>
            <a:gs pos="0">
              <a:schemeClr val="lt1">
                <a:lumMod val="75000"/>
                <a:alpha val="36000"/>
              </a:schemeClr>
            </a:gs>
          </a:gsLst>
          <a:lin ang="5400000" scaled="0"/>
        </a:gradFill>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a:ln w="31750" cap="flat" cmpd="sng" algn="ctr">
        <a:solidFill>
          <a:schemeClr val="dk1">
            <a:lumMod val="75000"/>
            <a:lumOff val="25000"/>
          </a:schemeClr>
        </a:solidFill>
        <a:round/>
      </a:ln>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charts/style5.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8.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9.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1741af05-4105-436b-99ed-2ae635da4422">
      <Terms xmlns="http://schemas.microsoft.com/office/infopath/2007/PartnerControls"/>
    </lcf76f155ced4ddcb4097134ff3c332f>
    <TaxCatchAll xmlns="31062a0d-ede8-4112-b4bb-00a9c1bc8e16" xsi:nil="true"/>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cument" ma:contentTypeID="0x010100A4FB122BB1BD9141A959870760A42A63" ma:contentTypeVersion="17" ma:contentTypeDescription="Create a new document." ma:contentTypeScope="" ma:versionID="fdd672feddc83625ac8ef9e9e8635488">
  <xsd:schema xmlns:xsd="http://www.w3.org/2001/XMLSchema" xmlns:xs="http://www.w3.org/2001/XMLSchema" xmlns:p="http://schemas.microsoft.com/office/2006/metadata/properties" xmlns:ns2="1741af05-4105-436b-99ed-2ae635da4422" xmlns:ns3="949c1712-297b-4d10-a511-7202a5ff7746" xmlns:ns4="31062a0d-ede8-4112-b4bb-00a9c1bc8e16" targetNamespace="http://schemas.microsoft.com/office/2006/metadata/properties" ma:root="true" ma:fieldsID="d767d4728b29cec640987e2ad1dc61af" ns2:_="" ns3:_="" ns4:_="">
    <xsd:import namespace="1741af05-4105-436b-99ed-2ae635da4422"/>
    <xsd:import namespace="949c1712-297b-4d10-a511-7202a5ff7746"/>
    <xsd:import namespace="31062a0d-ede8-4112-b4bb-00a9c1bc8e16"/>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OCR" minOccurs="0"/>
                <xsd:element ref="ns2:MediaServiceGenerationTime" minOccurs="0"/>
                <xsd:element ref="ns2:MediaServiceEventHashCode" minOccurs="0"/>
                <xsd:element ref="ns2:MediaServiceLocation" minOccurs="0"/>
                <xsd:element ref="ns3:SharedWithUsers" minOccurs="0"/>
                <xsd:element ref="ns3:SharedWithDetails" minOccurs="0"/>
                <xsd:element ref="ns2:lcf76f155ced4ddcb4097134ff3c332f" minOccurs="0"/>
                <xsd:element ref="ns4:TaxCatchAll" minOccurs="0"/>
                <xsd:element ref="ns2:MediaLengthInSeconds" minOccurs="0"/>
                <xsd:element ref="ns2:MediaServiceObjectDetectorVersions"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741af05-4105-436b-99ed-2ae635da442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OCR" ma:index="12" nillable="true" ma:displayName="Extracted Text" ma:internalName="MediaServiceOCR" ma:readOnly="true">
      <xsd:simpleType>
        <xsd:restriction base="dms:Note">
          <xsd:maxLength value="255"/>
        </xsd:restriction>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Location" ma:index="15" nillable="true" ma:displayName="Location" ma:internalName="MediaServiceLocation" ma:readOnly="true">
      <xsd:simpleType>
        <xsd:restriction base="dms:Text"/>
      </xsd:simpleType>
    </xsd:element>
    <xsd:element name="lcf76f155ced4ddcb4097134ff3c332f" ma:index="19" nillable="true" ma:taxonomy="true" ma:internalName="lcf76f155ced4ddcb4097134ff3c332f" ma:taxonomyFieldName="MediaServiceImageTags" ma:displayName="Image Tags" ma:readOnly="false" ma:fieldId="{5cf76f15-5ced-4ddc-b409-7134ff3c332f}" ma:taxonomyMulti="true" ma:sspId="9c5df3ad-b4e5-45d1-88c9-23db5f1fe618" ma:termSetId="09814cd3-568e-fe90-9814-8d621ff8fb84" ma:anchorId="fba54fb3-c3e1-fe81-a776-ca4b69148c4d" ma:open="true" ma:isKeyword="false">
      <xsd:complexType>
        <xsd:sequence>
          <xsd:element ref="pc:Terms" minOccurs="0" maxOccurs="1"/>
        </xsd:sequence>
      </xsd:complexType>
    </xsd:element>
    <xsd:element name="MediaLengthInSeconds" ma:index="21" nillable="true" ma:displayName="MediaLengthInSeconds" ma:hidden="true" ma:internalName="MediaLengthInSeconds" ma:readOnly="true">
      <xsd:simpleType>
        <xsd:restriction base="dms:Unknown"/>
      </xsd:simpleType>
    </xsd:element>
    <xsd:element name="MediaServiceObjectDetectorVersions" ma:index="22" nillable="true" ma:displayName="MediaServiceObjectDetectorVersions" ma:hidden="true" ma:indexed="true" ma:internalName="MediaServiceObjectDetectorVersions" ma:readOnly="true">
      <xsd:simpleType>
        <xsd:restriction base="dms:Text"/>
      </xsd:simpleType>
    </xsd:element>
    <xsd:element name="MediaServiceSearchProperties" ma:index="23" nillable="true" ma:displayName="MediaServiceSearchProperties" ma:hidden="true" ma:internalName="MediaServiceSearchProperties" ma:readOnly="true">
      <xsd:simpleType>
        <xsd:restriction base="dms:Note"/>
      </xsd:simpleType>
    </xsd:element>
    <xsd:element name="MediaServiceBillingMetadata" ma:index="24"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949c1712-297b-4d10-a511-7202a5ff7746"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31062a0d-ede8-4112-b4bb-00a9c1bc8e16" elementFormDefault="qualified">
    <xsd:import namespace="http://schemas.microsoft.com/office/2006/documentManagement/types"/>
    <xsd:import namespace="http://schemas.microsoft.com/office/infopath/2007/PartnerControls"/>
    <xsd:element name="TaxCatchAll" ma:index="20" nillable="true" ma:displayName="Taxonomy Catch All Column" ma:hidden="true" ma:list="{3b780418-57ba-46f2-aaba-133c47fd56af}" ma:internalName="TaxCatchAll" ma:showField="CatchAllData" ma:web="949c1712-297b-4d10-a511-7202a5ff7746">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5DE54B05-05F0-494E-A531-26AB656042C5}">
  <ds:schemaRefs>
    <ds:schemaRef ds:uri="1741af05-4105-436b-99ed-2ae635da4422"/>
    <ds:schemaRef ds:uri="http://schemas.microsoft.com/office/2006/documentManagement/types"/>
    <ds:schemaRef ds:uri="http://purl.org/dc/elements/1.1/"/>
    <ds:schemaRef ds:uri="http://schemas.microsoft.com/office/infopath/2007/PartnerControls"/>
    <ds:schemaRef ds:uri="http://schemas.microsoft.com/office/2006/metadata/properties"/>
    <ds:schemaRef ds:uri="http://schemas.openxmlformats.org/package/2006/metadata/core-properties"/>
    <ds:schemaRef ds:uri="949c1712-297b-4d10-a511-7202a5ff7746"/>
    <ds:schemaRef ds:uri="http://www.w3.org/XML/1998/namespace"/>
    <ds:schemaRef ds:uri="31062a0d-ede8-4112-b4bb-00a9c1bc8e16"/>
    <ds:schemaRef ds:uri="http://purl.org/dc/dcmitype/"/>
    <ds:schemaRef ds:uri="http://purl.org/dc/terms/"/>
  </ds:schemaRefs>
</ds:datastoreItem>
</file>

<file path=customXml/itemProps2.xml><?xml version="1.0" encoding="utf-8"?>
<ds:datastoreItem xmlns:ds="http://schemas.openxmlformats.org/officeDocument/2006/customXml" ds:itemID="{C3314119-9A1C-4E8A-8884-49AC1034C097}">
  <ds:schemaRefs>
    <ds:schemaRef ds:uri="http://schemas.openxmlformats.org/officeDocument/2006/bibliography"/>
  </ds:schemaRefs>
</ds:datastoreItem>
</file>

<file path=customXml/itemProps3.xml><?xml version="1.0" encoding="utf-8"?>
<ds:datastoreItem xmlns:ds="http://schemas.openxmlformats.org/officeDocument/2006/customXml" ds:itemID="{77D818A0-AFCA-4605-9810-001EA389661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741af05-4105-436b-99ed-2ae635da4422"/>
    <ds:schemaRef ds:uri="949c1712-297b-4d10-a511-7202a5ff7746"/>
    <ds:schemaRef ds:uri="31062a0d-ede8-4112-b4bb-00a9c1bc8e1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6763F4BB-F3CD-47FE-9AA0-892B305FDD6E}">
  <ds:schemaRefs>
    <ds:schemaRef ds:uri="http://schemas.microsoft.com/sharepoint/v3/contenttype/forms"/>
  </ds:schemaRefs>
</ds:datastoreItem>
</file>

<file path=docMetadata/LabelInfo.xml><?xml version="1.0" encoding="utf-8"?>
<clbl:labelList xmlns:clbl="http://schemas.microsoft.com/office/2020/mipLabelMetadata">
  <clbl:label id="{6dd02d64-b7f3-43f7-a145-cfd68d338edf}" enabled="1" method="Standard" siteId="{0693b5ba-4b18-4d7b-9341-f32f400a5494}" removed="0"/>
</clbl:labelList>
</file>

<file path=docProps/app.xml><?xml version="1.0" encoding="utf-8"?>
<Properties xmlns="http://schemas.openxmlformats.org/officeDocument/2006/extended-properties" xmlns:vt="http://schemas.openxmlformats.org/officeDocument/2006/docPropsVTypes">
  <Template>manuscript_template_v6.0.dotx</Template>
  <TotalTime>852</TotalTime>
  <Pages>1</Pages>
  <Words>15978</Words>
  <Characters>91075</Characters>
  <Application>Microsoft Office Word</Application>
  <DocSecurity>4</DocSecurity>
  <Lines>758</Lines>
  <Paragraphs>213</Paragraphs>
  <ScaleCrop>false</ScaleCrop>
  <Company>Department of Interior</Company>
  <LinksUpToDate>false</LinksUpToDate>
  <CharactersWithSpaces>106840</CharactersWithSpaces>
  <SharedDoc>false</SharedDoc>
  <HLinks>
    <vt:vector size="546" baseType="variant">
      <vt:variant>
        <vt:i4>5898308</vt:i4>
      </vt:variant>
      <vt:variant>
        <vt:i4>777</vt:i4>
      </vt:variant>
      <vt:variant>
        <vt:i4>0</vt:i4>
      </vt:variant>
      <vt:variant>
        <vt:i4>5</vt:i4>
      </vt:variant>
      <vt:variant>
        <vt:lpwstr>https://doi.org/10.3133/wri834161</vt:lpwstr>
      </vt:variant>
      <vt:variant>
        <vt:lpwstr/>
      </vt:variant>
      <vt:variant>
        <vt:i4>3604538</vt:i4>
      </vt:variant>
      <vt:variant>
        <vt:i4>774</vt:i4>
      </vt:variant>
      <vt:variant>
        <vt:i4>0</vt:i4>
      </vt:variant>
      <vt:variant>
        <vt:i4>5</vt:i4>
      </vt:variant>
      <vt:variant>
        <vt:lpwstr>https://www.usgs.gov/news/saltwater-contamination-freshwater-resources-could-make-many-atoll-islands-uninhabitable</vt:lpwstr>
      </vt:variant>
      <vt:variant>
        <vt:lpwstr/>
      </vt:variant>
      <vt:variant>
        <vt:i4>1048700</vt:i4>
      </vt:variant>
      <vt:variant>
        <vt:i4>771</vt:i4>
      </vt:variant>
      <vt:variant>
        <vt:i4>0</vt:i4>
      </vt:variant>
      <vt:variant>
        <vt:i4>5</vt:i4>
      </vt:variant>
      <vt:variant>
        <vt:lpwstr>http://pacioos.org/metadata/usgs_dem_10m_kosrae.html</vt:lpwstr>
      </vt:variant>
      <vt:variant>
        <vt:lpwstr/>
      </vt:variant>
      <vt:variant>
        <vt:i4>5898310</vt:i4>
      </vt:variant>
      <vt:variant>
        <vt:i4>768</vt:i4>
      </vt:variant>
      <vt:variant>
        <vt:i4>0</vt:i4>
      </vt:variant>
      <vt:variant>
        <vt:i4>5</vt:i4>
      </vt:variant>
      <vt:variant>
        <vt:lpwstr>https://doi.org/10.3133/wri904074</vt:lpwstr>
      </vt:variant>
      <vt:variant>
        <vt:lpwstr/>
      </vt:variant>
      <vt:variant>
        <vt:i4>6488183</vt:i4>
      </vt:variant>
      <vt:variant>
        <vt:i4>765</vt:i4>
      </vt:variant>
      <vt:variant>
        <vt:i4>0</vt:i4>
      </vt:variant>
      <vt:variant>
        <vt:i4>5</vt:i4>
      </vt:variant>
      <vt:variant>
        <vt:lpwstr>https://doi.org/10.5067/GPM/IMERGDF/DAY/07</vt:lpwstr>
      </vt:variant>
      <vt:variant>
        <vt:lpwstr/>
      </vt:variant>
      <vt:variant>
        <vt:i4>589838</vt:i4>
      </vt:variant>
      <vt:variant>
        <vt:i4>762</vt:i4>
      </vt:variant>
      <vt:variant>
        <vt:i4>0</vt:i4>
      </vt:variant>
      <vt:variant>
        <vt:i4>5</vt:i4>
      </vt:variant>
      <vt:variant>
        <vt:lpwstr>https://cran.r-project.org/package=terra</vt:lpwstr>
      </vt:variant>
      <vt:variant>
        <vt:lpwstr/>
      </vt:variant>
      <vt:variant>
        <vt:i4>1245196</vt:i4>
      </vt:variant>
      <vt:variant>
        <vt:i4>759</vt:i4>
      </vt:variant>
      <vt:variant>
        <vt:i4>0</vt:i4>
      </vt:variant>
      <vt:variant>
        <vt:i4>5</vt:i4>
      </vt:variant>
      <vt:variant>
        <vt:lpwstr>https://www.usgs.gov/publications/evapotranspiration-terminology-and-definitions</vt:lpwstr>
      </vt:variant>
      <vt:variant>
        <vt:lpwstr/>
      </vt:variant>
      <vt:variant>
        <vt:i4>8192127</vt:i4>
      </vt:variant>
      <vt:variant>
        <vt:i4>756</vt:i4>
      </vt:variant>
      <vt:variant>
        <vt:i4>0</vt:i4>
      </vt:variant>
      <vt:variant>
        <vt:i4>5</vt:i4>
      </vt:variant>
      <vt:variant>
        <vt:lpwstr>https://en.climate-data.org/oceania/federated-states-of-micronesia/chuuk-2649/</vt:lpwstr>
      </vt:variant>
      <vt:variant>
        <vt:lpwstr/>
      </vt:variant>
      <vt:variant>
        <vt:i4>655385</vt:i4>
      </vt:variant>
      <vt:variant>
        <vt:i4>753</vt:i4>
      </vt:variant>
      <vt:variant>
        <vt:i4>0</vt:i4>
      </vt:variant>
      <vt:variant>
        <vt:i4>5</vt:i4>
      </vt:variant>
      <vt:variant>
        <vt:lpwstr>https://www.adb.org/sites/default/files/institutional-document/32120/charter.pdf</vt:lpwstr>
      </vt:variant>
      <vt:variant>
        <vt:lpwstr/>
      </vt:variant>
      <vt:variant>
        <vt:i4>1572918</vt:i4>
      </vt:variant>
      <vt:variant>
        <vt:i4>464</vt:i4>
      </vt:variant>
      <vt:variant>
        <vt:i4>0</vt:i4>
      </vt:variant>
      <vt:variant>
        <vt:i4>5</vt:i4>
      </vt:variant>
      <vt:variant>
        <vt:lpwstr/>
      </vt:variant>
      <vt:variant>
        <vt:lpwstr>_Toc228288470</vt:lpwstr>
      </vt:variant>
      <vt:variant>
        <vt:i4>1638454</vt:i4>
      </vt:variant>
      <vt:variant>
        <vt:i4>461</vt:i4>
      </vt:variant>
      <vt:variant>
        <vt:i4>0</vt:i4>
      </vt:variant>
      <vt:variant>
        <vt:i4>5</vt:i4>
      </vt:variant>
      <vt:variant>
        <vt:lpwstr/>
      </vt:variant>
      <vt:variant>
        <vt:lpwstr>_Toc228288469</vt:lpwstr>
      </vt:variant>
      <vt:variant>
        <vt:i4>1638454</vt:i4>
      </vt:variant>
      <vt:variant>
        <vt:i4>458</vt:i4>
      </vt:variant>
      <vt:variant>
        <vt:i4>0</vt:i4>
      </vt:variant>
      <vt:variant>
        <vt:i4>5</vt:i4>
      </vt:variant>
      <vt:variant>
        <vt:lpwstr/>
      </vt:variant>
      <vt:variant>
        <vt:lpwstr>_Toc228288468</vt:lpwstr>
      </vt:variant>
      <vt:variant>
        <vt:i4>1638454</vt:i4>
      </vt:variant>
      <vt:variant>
        <vt:i4>455</vt:i4>
      </vt:variant>
      <vt:variant>
        <vt:i4>0</vt:i4>
      </vt:variant>
      <vt:variant>
        <vt:i4>5</vt:i4>
      </vt:variant>
      <vt:variant>
        <vt:lpwstr/>
      </vt:variant>
      <vt:variant>
        <vt:lpwstr>_Toc228288467</vt:lpwstr>
      </vt:variant>
      <vt:variant>
        <vt:i4>1638454</vt:i4>
      </vt:variant>
      <vt:variant>
        <vt:i4>452</vt:i4>
      </vt:variant>
      <vt:variant>
        <vt:i4>0</vt:i4>
      </vt:variant>
      <vt:variant>
        <vt:i4>5</vt:i4>
      </vt:variant>
      <vt:variant>
        <vt:lpwstr/>
      </vt:variant>
      <vt:variant>
        <vt:lpwstr>_Toc228288466</vt:lpwstr>
      </vt:variant>
      <vt:variant>
        <vt:i4>1638454</vt:i4>
      </vt:variant>
      <vt:variant>
        <vt:i4>449</vt:i4>
      </vt:variant>
      <vt:variant>
        <vt:i4>0</vt:i4>
      </vt:variant>
      <vt:variant>
        <vt:i4>5</vt:i4>
      </vt:variant>
      <vt:variant>
        <vt:lpwstr/>
      </vt:variant>
      <vt:variant>
        <vt:lpwstr>_Toc228288465</vt:lpwstr>
      </vt:variant>
      <vt:variant>
        <vt:i4>1638454</vt:i4>
      </vt:variant>
      <vt:variant>
        <vt:i4>446</vt:i4>
      </vt:variant>
      <vt:variant>
        <vt:i4>0</vt:i4>
      </vt:variant>
      <vt:variant>
        <vt:i4>5</vt:i4>
      </vt:variant>
      <vt:variant>
        <vt:lpwstr/>
      </vt:variant>
      <vt:variant>
        <vt:lpwstr>_Toc228288464</vt:lpwstr>
      </vt:variant>
      <vt:variant>
        <vt:i4>1638454</vt:i4>
      </vt:variant>
      <vt:variant>
        <vt:i4>443</vt:i4>
      </vt:variant>
      <vt:variant>
        <vt:i4>0</vt:i4>
      </vt:variant>
      <vt:variant>
        <vt:i4>5</vt:i4>
      </vt:variant>
      <vt:variant>
        <vt:lpwstr/>
      </vt:variant>
      <vt:variant>
        <vt:lpwstr>_Toc228288463</vt:lpwstr>
      </vt:variant>
      <vt:variant>
        <vt:i4>1638454</vt:i4>
      </vt:variant>
      <vt:variant>
        <vt:i4>440</vt:i4>
      </vt:variant>
      <vt:variant>
        <vt:i4>0</vt:i4>
      </vt:variant>
      <vt:variant>
        <vt:i4>5</vt:i4>
      </vt:variant>
      <vt:variant>
        <vt:lpwstr/>
      </vt:variant>
      <vt:variant>
        <vt:lpwstr>_Toc228288462</vt:lpwstr>
      </vt:variant>
      <vt:variant>
        <vt:i4>1638454</vt:i4>
      </vt:variant>
      <vt:variant>
        <vt:i4>437</vt:i4>
      </vt:variant>
      <vt:variant>
        <vt:i4>0</vt:i4>
      </vt:variant>
      <vt:variant>
        <vt:i4>5</vt:i4>
      </vt:variant>
      <vt:variant>
        <vt:lpwstr/>
      </vt:variant>
      <vt:variant>
        <vt:lpwstr>_Toc228288461</vt:lpwstr>
      </vt:variant>
      <vt:variant>
        <vt:i4>1638454</vt:i4>
      </vt:variant>
      <vt:variant>
        <vt:i4>434</vt:i4>
      </vt:variant>
      <vt:variant>
        <vt:i4>0</vt:i4>
      </vt:variant>
      <vt:variant>
        <vt:i4>5</vt:i4>
      </vt:variant>
      <vt:variant>
        <vt:lpwstr/>
      </vt:variant>
      <vt:variant>
        <vt:lpwstr>_Toc228288460</vt:lpwstr>
      </vt:variant>
      <vt:variant>
        <vt:i4>1048631</vt:i4>
      </vt:variant>
      <vt:variant>
        <vt:i4>425</vt:i4>
      </vt:variant>
      <vt:variant>
        <vt:i4>0</vt:i4>
      </vt:variant>
      <vt:variant>
        <vt:i4>5</vt:i4>
      </vt:variant>
      <vt:variant>
        <vt:lpwstr/>
      </vt:variant>
      <vt:variant>
        <vt:lpwstr>_Toc227410311</vt:lpwstr>
      </vt:variant>
      <vt:variant>
        <vt:i4>1048631</vt:i4>
      </vt:variant>
      <vt:variant>
        <vt:i4>419</vt:i4>
      </vt:variant>
      <vt:variant>
        <vt:i4>0</vt:i4>
      </vt:variant>
      <vt:variant>
        <vt:i4>5</vt:i4>
      </vt:variant>
      <vt:variant>
        <vt:lpwstr/>
      </vt:variant>
      <vt:variant>
        <vt:lpwstr>_Toc227410310</vt:lpwstr>
      </vt:variant>
      <vt:variant>
        <vt:i4>1114167</vt:i4>
      </vt:variant>
      <vt:variant>
        <vt:i4>413</vt:i4>
      </vt:variant>
      <vt:variant>
        <vt:i4>0</vt:i4>
      </vt:variant>
      <vt:variant>
        <vt:i4>5</vt:i4>
      </vt:variant>
      <vt:variant>
        <vt:lpwstr/>
      </vt:variant>
      <vt:variant>
        <vt:lpwstr>_Toc227410309</vt:lpwstr>
      </vt:variant>
      <vt:variant>
        <vt:i4>1114167</vt:i4>
      </vt:variant>
      <vt:variant>
        <vt:i4>407</vt:i4>
      </vt:variant>
      <vt:variant>
        <vt:i4>0</vt:i4>
      </vt:variant>
      <vt:variant>
        <vt:i4>5</vt:i4>
      </vt:variant>
      <vt:variant>
        <vt:lpwstr/>
      </vt:variant>
      <vt:variant>
        <vt:lpwstr>_Toc227410308</vt:lpwstr>
      </vt:variant>
      <vt:variant>
        <vt:i4>1114167</vt:i4>
      </vt:variant>
      <vt:variant>
        <vt:i4>401</vt:i4>
      </vt:variant>
      <vt:variant>
        <vt:i4>0</vt:i4>
      </vt:variant>
      <vt:variant>
        <vt:i4>5</vt:i4>
      </vt:variant>
      <vt:variant>
        <vt:lpwstr/>
      </vt:variant>
      <vt:variant>
        <vt:lpwstr>_Toc227410307</vt:lpwstr>
      </vt:variant>
      <vt:variant>
        <vt:i4>1114167</vt:i4>
      </vt:variant>
      <vt:variant>
        <vt:i4>395</vt:i4>
      </vt:variant>
      <vt:variant>
        <vt:i4>0</vt:i4>
      </vt:variant>
      <vt:variant>
        <vt:i4>5</vt:i4>
      </vt:variant>
      <vt:variant>
        <vt:lpwstr/>
      </vt:variant>
      <vt:variant>
        <vt:lpwstr>_Toc227410306</vt:lpwstr>
      </vt:variant>
      <vt:variant>
        <vt:i4>1114167</vt:i4>
      </vt:variant>
      <vt:variant>
        <vt:i4>389</vt:i4>
      </vt:variant>
      <vt:variant>
        <vt:i4>0</vt:i4>
      </vt:variant>
      <vt:variant>
        <vt:i4>5</vt:i4>
      </vt:variant>
      <vt:variant>
        <vt:lpwstr/>
      </vt:variant>
      <vt:variant>
        <vt:lpwstr>_Toc227410305</vt:lpwstr>
      </vt:variant>
      <vt:variant>
        <vt:i4>1114167</vt:i4>
      </vt:variant>
      <vt:variant>
        <vt:i4>383</vt:i4>
      </vt:variant>
      <vt:variant>
        <vt:i4>0</vt:i4>
      </vt:variant>
      <vt:variant>
        <vt:i4>5</vt:i4>
      </vt:variant>
      <vt:variant>
        <vt:lpwstr/>
      </vt:variant>
      <vt:variant>
        <vt:lpwstr>_Toc227410304</vt:lpwstr>
      </vt:variant>
      <vt:variant>
        <vt:i4>1114167</vt:i4>
      </vt:variant>
      <vt:variant>
        <vt:i4>377</vt:i4>
      </vt:variant>
      <vt:variant>
        <vt:i4>0</vt:i4>
      </vt:variant>
      <vt:variant>
        <vt:i4>5</vt:i4>
      </vt:variant>
      <vt:variant>
        <vt:lpwstr/>
      </vt:variant>
      <vt:variant>
        <vt:lpwstr>_Toc227410303</vt:lpwstr>
      </vt:variant>
      <vt:variant>
        <vt:i4>1114167</vt:i4>
      </vt:variant>
      <vt:variant>
        <vt:i4>371</vt:i4>
      </vt:variant>
      <vt:variant>
        <vt:i4>0</vt:i4>
      </vt:variant>
      <vt:variant>
        <vt:i4>5</vt:i4>
      </vt:variant>
      <vt:variant>
        <vt:lpwstr/>
      </vt:variant>
      <vt:variant>
        <vt:lpwstr>_Toc227410302</vt:lpwstr>
      </vt:variant>
      <vt:variant>
        <vt:i4>1114167</vt:i4>
      </vt:variant>
      <vt:variant>
        <vt:i4>365</vt:i4>
      </vt:variant>
      <vt:variant>
        <vt:i4>0</vt:i4>
      </vt:variant>
      <vt:variant>
        <vt:i4>5</vt:i4>
      </vt:variant>
      <vt:variant>
        <vt:lpwstr/>
      </vt:variant>
      <vt:variant>
        <vt:lpwstr>_Toc227410301</vt:lpwstr>
      </vt:variant>
      <vt:variant>
        <vt:i4>1114167</vt:i4>
      </vt:variant>
      <vt:variant>
        <vt:i4>359</vt:i4>
      </vt:variant>
      <vt:variant>
        <vt:i4>0</vt:i4>
      </vt:variant>
      <vt:variant>
        <vt:i4>5</vt:i4>
      </vt:variant>
      <vt:variant>
        <vt:lpwstr/>
      </vt:variant>
      <vt:variant>
        <vt:lpwstr>_Toc227410300</vt:lpwstr>
      </vt:variant>
      <vt:variant>
        <vt:i4>1572918</vt:i4>
      </vt:variant>
      <vt:variant>
        <vt:i4>353</vt:i4>
      </vt:variant>
      <vt:variant>
        <vt:i4>0</vt:i4>
      </vt:variant>
      <vt:variant>
        <vt:i4>5</vt:i4>
      </vt:variant>
      <vt:variant>
        <vt:lpwstr/>
      </vt:variant>
      <vt:variant>
        <vt:lpwstr>_Toc227410299</vt:lpwstr>
      </vt:variant>
      <vt:variant>
        <vt:i4>1572918</vt:i4>
      </vt:variant>
      <vt:variant>
        <vt:i4>347</vt:i4>
      </vt:variant>
      <vt:variant>
        <vt:i4>0</vt:i4>
      </vt:variant>
      <vt:variant>
        <vt:i4>5</vt:i4>
      </vt:variant>
      <vt:variant>
        <vt:lpwstr/>
      </vt:variant>
      <vt:variant>
        <vt:lpwstr>_Toc227410298</vt:lpwstr>
      </vt:variant>
      <vt:variant>
        <vt:i4>1572918</vt:i4>
      </vt:variant>
      <vt:variant>
        <vt:i4>341</vt:i4>
      </vt:variant>
      <vt:variant>
        <vt:i4>0</vt:i4>
      </vt:variant>
      <vt:variant>
        <vt:i4>5</vt:i4>
      </vt:variant>
      <vt:variant>
        <vt:lpwstr/>
      </vt:variant>
      <vt:variant>
        <vt:lpwstr>_Toc227410297</vt:lpwstr>
      </vt:variant>
      <vt:variant>
        <vt:i4>1572918</vt:i4>
      </vt:variant>
      <vt:variant>
        <vt:i4>335</vt:i4>
      </vt:variant>
      <vt:variant>
        <vt:i4>0</vt:i4>
      </vt:variant>
      <vt:variant>
        <vt:i4>5</vt:i4>
      </vt:variant>
      <vt:variant>
        <vt:lpwstr/>
      </vt:variant>
      <vt:variant>
        <vt:lpwstr>_Toc227410296</vt:lpwstr>
      </vt:variant>
      <vt:variant>
        <vt:i4>1572918</vt:i4>
      </vt:variant>
      <vt:variant>
        <vt:i4>329</vt:i4>
      </vt:variant>
      <vt:variant>
        <vt:i4>0</vt:i4>
      </vt:variant>
      <vt:variant>
        <vt:i4>5</vt:i4>
      </vt:variant>
      <vt:variant>
        <vt:lpwstr/>
      </vt:variant>
      <vt:variant>
        <vt:lpwstr>_Toc227410295</vt:lpwstr>
      </vt:variant>
      <vt:variant>
        <vt:i4>1572918</vt:i4>
      </vt:variant>
      <vt:variant>
        <vt:i4>323</vt:i4>
      </vt:variant>
      <vt:variant>
        <vt:i4>0</vt:i4>
      </vt:variant>
      <vt:variant>
        <vt:i4>5</vt:i4>
      </vt:variant>
      <vt:variant>
        <vt:lpwstr/>
      </vt:variant>
      <vt:variant>
        <vt:lpwstr>_Toc227410294</vt:lpwstr>
      </vt:variant>
      <vt:variant>
        <vt:i4>1572918</vt:i4>
      </vt:variant>
      <vt:variant>
        <vt:i4>317</vt:i4>
      </vt:variant>
      <vt:variant>
        <vt:i4>0</vt:i4>
      </vt:variant>
      <vt:variant>
        <vt:i4>5</vt:i4>
      </vt:variant>
      <vt:variant>
        <vt:lpwstr/>
      </vt:variant>
      <vt:variant>
        <vt:lpwstr>_Toc227410293</vt:lpwstr>
      </vt:variant>
      <vt:variant>
        <vt:i4>1572918</vt:i4>
      </vt:variant>
      <vt:variant>
        <vt:i4>311</vt:i4>
      </vt:variant>
      <vt:variant>
        <vt:i4>0</vt:i4>
      </vt:variant>
      <vt:variant>
        <vt:i4>5</vt:i4>
      </vt:variant>
      <vt:variant>
        <vt:lpwstr/>
      </vt:variant>
      <vt:variant>
        <vt:lpwstr>_Toc227410292</vt:lpwstr>
      </vt:variant>
      <vt:variant>
        <vt:i4>1572918</vt:i4>
      </vt:variant>
      <vt:variant>
        <vt:i4>305</vt:i4>
      </vt:variant>
      <vt:variant>
        <vt:i4>0</vt:i4>
      </vt:variant>
      <vt:variant>
        <vt:i4>5</vt:i4>
      </vt:variant>
      <vt:variant>
        <vt:lpwstr/>
      </vt:variant>
      <vt:variant>
        <vt:lpwstr>_Toc227410291</vt:lpwstr>
      </vt:variant>
      <vt:variant>
        <vt:i4>1572918</vt:i4>
      </vt:variant>
      <vt:variant>
        <vt:i4>299</vt:i4>
      </vt:variant>
      <vt:variant>
        <vt:i4>0</vt:i4>
      </vt:variant>
      <vt:variant>
        <vt:i4>5</vt:i4>
      </vt:variant>
      <vt:variant>
        <vt:lpwstr/>
      </vt:variant>
      <vt:variant>
        <vt:lpwstr>_Toc227410290</vt:lpwstr>
      </vt:variant>
      <vt:variant>
        <vt:i4>1638454</vt:i4>
      </vt:variant>
      <vt:variant>
        <vt:i4>293</vt:i4>
      </vt:variant>
      <vt:variant>
        <vt:i4>0</vt:i4>
      </vt:variant>
      <vt:variant>
        <vt:i4>5</vt:i4>
      </vt:variant>
      <vt:variant>
        <vt:lpwstr/>
      </vt:variant>
      <vt:variant>
        <vt:lpwstr>_Toc227410289</vt:lpwstr>
      </vt:variant>
      <vt:variant>
        <vt:i4>1638454</vt:i4>
      </vt:variant>
      <vt:variant>
        <vt:i4>287</vt:i4>
      </vt:variant>
      <vt:variant>
        <vt:i4>0</vt:i4>
      </vt:variant>
      <vt:variant>
        <vt:i4>5</vt:i4>
      </vt:variant>
      <vt:variant>
        <vt:lpwstr/>
      </vt:variant>
      <vt:variant>
        <vt:lpwstr>_Toc227410288</vt:lpwstr>
      </vt:variant>
      <vt:variant>
        <vt:i4>1638454</vt:i4>
      </vt:variant>
      <vt:variant>
        <vt:i4>281</vt:i4>
      </vt:variant>
      <vt:variant>
        <vt:i4>0</vt:i4>
      </vt:variant>
      <vt:variant>
        <vt:i4>5</vt:i4>
      </vt:variant>
      <vt:variant>
        <vt:lpwstr/>
      </vt:variant>
      <vt:variant>
        <vt:lpwstr>_Toc227410287</vt:lpwstr>
      </vt:variant>
      <vt:variant>
        <vt:i4>1638454</vt:i4>
      </vt:variant>
      <vt:variant>
        <vt:i4>275</vt:i4>
      </vt:variant>
      <vt:variant>
        <vt:i4>0</vt:i4>
      </vt:variant>
      <vt:variant>
        <vt:i4>5</vt:i4>
      </vt:variant>
      <vt:variant>
        <vt:lpwstr/>
      </vt:variant>
      <vt:variant>
        <vt:lpwstr>_Toc227410286</vt:lpwstr>
      </vt:variant>
      <vt:variant>
        <vt:i4>1638454</vt:i4>
      </vt:variant>
      <vt:variant>
        <vt:i4>269</vt:i4>
      </vt:variant>
      <vt:variant>
        <vt:i4>0</vt:i4>
      </vt:variant>
      <vt:variant>
        <vt:i4>5</vt:i4>
      </vt:variant>
      <vt:variant>
        <vt:lpwstr/>
      </vt:variant>
      <vt:variant>
        <vt:lpwstr>_Toc227410285</vt:lpwstr>
      </vt:variant>
      <vt:variant>
        <vt:i4>1638454</vt:i4>
      </vt:variant>
      <vt:variant>
        <vt:i4>263</vt:i4>
      </vt:variant>
      <vt:variant>
        <vt:i4>0</vt:i4>
      </vt:variant>
      <vt:variant>
        <vt:i4>5</vt:i4>
      </vt:variant>
      <vt:variant>
        <vt:lpwstr/>
      </vt:variant>
      <vt:variant>
        <vt:lpwstr>_Toc227410284</vt:lpwstr>
      </vt:variant>
      <vt:variant>
        <vt:i4>1638454</vt:i4>
      </vt:variant>
      <vt:variant>
        <vt:i4>257</vt:i4>
      </vt:variant>
      <vt:variant>
        <vt:i4>0</vt:i4>
      </vt:variant>
      <vt:variant>
        <vt:i4>5</vt:i4>
      </vt:variant>
      <vt:variant>
        <vt:lpwstr/>
      </vt:variant>
      <vt:variant>
        <vt:lpwstr>_Toc227410283</vt:lpwstr>
      </vt:variant>
      <vt:variant>
        <vt:i4>1638454</vt:i4>
      </vt:variant>
      <vt:variant>
        <vt:i4>251</vt:i4>
      </vt:variant>
      <vt:variant>
        <vt:i4>0</vt:i4>
      </vt:variant>
      <vt:variant>
        <vt:i4>5</vt:i4>
      </vt:variant>
      <vt:variant>
        <vt:lpwstr/>
      </vt:variant>
      <vt:variant>
        <vt:lpwstr>_Toc227410282</vt:lpwstr>
      </vt:variant>
      <vt:variant>
        <vt:i4>1638454</vt:i4>
      </vt:variant>
      <vt:variant>
        <vt:i4>245</vt:i4>
      </vt:variant>
      <vt:variant>
        <vt:i4>0</vt:i4>
      </vt:variant>
      <vt:variant>
        <vt:i4>5</vt:i4>
      </vt:variant>
      <vt:variant>
        <vt:lpwstr/>
      </vt:variant>
      <vt:variant>
        <vt:lpwstr>_Toc227410281</vt:lpwstr>
      </vt:variant>
      <vt:variant>
        <vt:i4>1638454</vt:i4>
      </vt:variant>
      <vt:variant>
        <vt:i4>239</vt:i4>
      </vt:variant>
      <vt:variant>
        <vt:i4>0</vt:i4>
      </vt:variant>
      <vt:variant>
        <vt:i4>5</vt:i4>
      </vt:variant>
      <vt:variant>
        <vt:lpwstr/>
      </vt:variant>
      <vt:variant>
        <vt:lpwstr>_Toc227410280</vt:lpwstr>
      </vt:variant>
      <vt:variant>
        <vt:i4>1441846</vt:i4>
      </vt:variant>
      <vt:variant>
        <vt:i4>233</vt:i4>
      </vt:variant>
      <vt:variant>
        <vt:i4>0</vt:i4>
      </vt:variant>
      <vt:variant>
        <vt:i4>5</vt:i4>
      </vt:variant>
      <vt:variant>
        <vt:lpwstr/>
      </vt:variant>
      <vt:variant>
        <vt:lpwstr>_Toc227410279</vt:lpwstr>
      </vt:variant>
      <vt:variant>
        <vt:i4>1441846</vt:i4>
      </vt:variant>
      <vt:variant>
        <vt:i4>227</vt:i4>
      </vt:variant>
      <vt:variant>
        <vt:i4>0</vt:i4>
      </vt:variant>
      <vt:variant>
        <vt:i4>5</vt:i4>
      </vt:variant>
      <vt:variant>
        <vt:lpwstr/>
      </vt:variant>
      <vt:variant>
        <vt:lpwstr>_Toc227410278</vt:lpwstr>
      </vt:variant>
      <vt:variant>
        <vt:i4>1441846</vt:i4>
      </vt:variant>
      <vt:variant>
        <vt:i4>221</vt:i4>
      </vt:variant>
      <vt:variant>
        <vt:i4>0</vt:i4>
      </vt:variant>
      <vt:variant>
        <vt:i4>5</vt:i4>
      </vt:variant>
      <vt:variant>
        <vt:lpwstr/>
      </vt:variant>
      <vt:variant>
        <vt:lpwstr>_Toc227410277</vt:lpwstr>
      </vt:variant>
      <vt:variant>
        <vt:i4>1441846</vt:i4>
      </vt:variant>
      <vt:variant>
        <vt:i4>215</vt:i4>
      </vt:variant>
      <vt:variant>
        <vt:i4>0</vt:i4>
      </vt:variant>
      <vt:variant>
        <vt:i4>5</vt:i4>
      </vt:variant>
      <vt:variant>
        <vt:lpwstr/>
      </vt:variant>
      <vt:variant>
        <vt:lpwstr>_Toc227410276</vt:lpwstr>
      </vt:variant>
      <vt:variant>
        <vt:i4>1441846</vt:i4>
      </vt:variant>
      <vt:variant>
        <vt:i4>209</vt:i4>
      </vt:variant>
      <vt:variant>
        <vt:i4>0</vt:i4>
      </vt:variant>
      <vt:variant>
        <vt:i4>5</vt:i4>
      </vt:variant>
      <vt:variant>
        <vt:lpwstr/>
      </vt:variant>
      <vt:variant>
        <vt:lpwstr>_Toc227410275</vt:lpwstr>
      </vt:variant>
      <vt:variant>
        <vt:i4>1441846</vt:i4>
      </vt:variant>
      <vt:variant>
        <vt:i4>203</vt:i4>
      </vt:variant>
      <vt:variant>
        <vt:i4>0</vt:i4>
      </vt:variant>
      <vt:variant>
        <vt:i4>5</vt:i4>
      </vt:variant>
      <vt:variant>
        <vt:lpwstr/>
      </vt:variant>
      <vt:variant>
        <vt:lpwstr>_Toc227410274</vt:lpwstr>
      </vt:variant>
      <vt:variant>
        <vt:i4>1441846</vt:i4>
      </vt:variant>
      <vt:variant>
        <vt:i4>197</vt:i4>
      </vt:variant>
      <vt:variant>
        <vt:i4>0</vt:i4>
      </vt:variant>
      <vt:variant>
        <vt:i4>5</vt:i4>
      </vt:variant>
      <vt:variant>
        <vt:lpwstr/>
      </vt:variant>
      <vt:variant>
        <vt:lpwstr>_Toc227410273</vt:lpwstr>
      </vt:variant>
      <vt:variant>
        <vt:i4>1703990</vt:i4>
      </vt:variant>
      <vt:variant>
        <vt:i4>188</vt:i4>
      </vt:variant>
      <vt:variant>
        <vt:i4>0</vt:i4>
      </vt:variant>
      <vt:variant>
        <vt:i4>5</vt:i4>
      </vt:variant>
      <vt:variant>
        <vt:lpwstr/>
      </vt:variant>
      <vt:variant>
        <vt:lpwstr>_Toc228288459</vt:lpwstr>
      </vt:variant>
      <vt:variant>
        <vt:i4>1703990</vt:i4>
      </vt:variant>
      <vt:variant>
        <vt:i4>182</vt:i4>
      </vt:variant>
      <vt:variant>
        <vt:i4>0</vt:i4>
      </vt:variant>
      <vt:variant>
        <vt:i4>5</vt:i4>
      </vt:variant>
      <vt:variant>
        <vt:lpwstr/>
      </vt:variant>
      <vt:variant>
        <vt:lpwstr>_Toc228288458</vt:lpwstr>
      </vt:variant>
      <vt:variant>
        <vt:i4>1703990</vt:i4>
      </vt:variant>
      <vt:variant>
        <vt:i4>176</vt:i4>
      </vt:variant>
      <vt:variant>
        <vt:i4>0</vt:i4>
      </vt:variant>
      <vt:variant>
        <vt:i4>5</vt:i4>
      </vt:variant>
      <vt:variant>
        <vt:lpwstr/>
      </vt:variant>
      <vt:variant>
        <vt:lpwstr>_Toc228288457</vt:lpwstr>
      </vt:variant>
      <vt:variant>
        <vt:i4>1703990</vt:i4>
      </vt:variant>
      <vt:variant>
        <vt:i4>170</vt:i4>
      </vt:variant>
      <vt:variant>
        <vt:i4>0</vt:i4>
      </vt:variant>
      <vt:variant>
        <vt:i4>5</vt:i4>
      </vt:variant>
      <vt:variant>
        <vt:lpwstr/>
      </vt:variant>
      <vt:variant>
        <vt:lpwstr>_Toc228288456</vt:lpwstr>
      </vt:variant>
      <vt:variant>
        <vt:i4>1703990</vt:i4>
      </vt:variant>
      <vt:variant>
        <vt:i4>164</vt:i4>
      </vt:variant>
      <vt:variant>
        <vt:i4>0</vt:i4>
      </vt:variant>
      <vt:variant>
        <vt:i4>5</vt:i4>
      </vt:variant>
      <vt:variant>
        <vt:lpwstr/>
      </vt:variant>
      <vt:variant>
        <vt:lpwstr>_Toc228288455</vt:lpwstr>
      </vt:variant>
      <vt:variant>
        <vt:i4>1703990</vt:i4>
      </vt:variant>
      <vt:variant>
        <vt:i4>158</vt:i4>
      </vt:variant>
      <vt:variant>
        <vt:i4>0</vt:i4>
      </vt:variant>
      <vt:variant>
        <vt:i4>5</vt:i4>
      </vt:variant>
      <vt:variant>
        <vt:lpwstr/>
      </vt:variant>
      <vt:variant>
        <vt:lpwstr>_Toc228288454</vt:lpwstr>
      </vt:variant>
      <vt:variant>
        <vt:i4>1703990</vt:i4>
      </vt:variant>
      <vt:variant>
        <vt:i4>152</vt:i4>
      </vt:variant>
      <vt:variant>
        <vt:i4>0</vt:i4>
      </vt:variant>
      <vt:variant>
        <vt:i4>5</vt:i4>
      </vt:variant>
      <vt:variant>
        <vt:lpwstr/>
      </vt:variant>
      <vt:variant>
        <vt:lpwstr>_Toc228288453</vt:lpwstr>
      </vt:variant>
      <vt:variant>
        <vt:i4>1703990</vt:i4>
      </vt:variant>
      <vt:variant>
        <vt:i4>146</vt:i4>
      </vt:variant>
      <vt:variant>
        <vt:i4>0</vt:i4>
      </vt:variant>
      <vt:variant>
        <vt:i4>5</vt:i4>
      </vt:variant>
      <vt:variant>
        <vt:lpwstr/>
      </vt:variant>
      <vt:variant>
        <vt:lpwstr>_Toc228288452</vt:lpwstr>
      </vt:variant>
      <vt:variant>
        <vt:i4>1703990</vt:i4>
      </vt:variant>
      <vt:variant>
        <vt:i4>140</vt:i4>
      </vt:variant>
      <vt:variant>
        <vt:i4>0</vt:i4>
      </vt:variant>
      <vt:variant>
        <vt:i4>5</vt:i4>
      </vt:variant>
      <vt:variant>
        <vt:lpwstr/>
      </vt:variant>
      <vt:variant>
        <vt:lpwstr>_Toc228288451</vt:lpwstr>
      </vt:variant>
      <vt:variant>
        <vt:i4>1703990</vt:i4>
      </vt:variant>
      <vt:variant>
        <vt:i4>134</vt:i4>
      </vt:variant>
      <vt:variant>
        <vt:i4>0</vt:i4>
      </vt:variant>
      <vt:variant>
        <vt:i4>5</vt:i4>
      </vt:variant>
      <vt:variant>
        <vt:lpwstr/>
      </vt:variant>
      <vt:variant>
        <vt:lpwstr>_Toc228288450</vt:lpwstr>
      </vt:variant>
      <vt:variant>
        <vt:i4>1769526</vt:i4>
      </vt:variant>
      <vt:variant>
        <vt:i4>128</vt:i4>
      </vt:variant>
      <vt:variant>
        <vt:i4>0</vt:i4>
      </vt:variant>
      <vt:variant>
        <vt:i4>5</vt:i4>
      </vt:variant>
      <vt:variant>
        <vt:lpwstr/>
      </vt:variant>
      <vt:variant>
        <vt:lpwstr>_Toc228288449</vt:lpwstr>
      </vt:variant>
      <vt:variant>
        <vt:i4>1769526</vt:i4>
      </vt:variant>
      <vt:variant>
        <vt:i4>122</vt:i4>
      </vt:variant>
      <vt:variant>
        <vt:i4>0</vt:i4>
      </vt:variant>
      <vt:variant>
        <vt:i4>5</vt:i4>
      </vt:variant>
      <vt:variant>
        <vt:lpwstr/>
      </vt:variant>
      <vt:variant>
        <vt:lpwstr>_Toc228288448</vt:lpwstr>
      </vt:variant>
      <vt:variant>
        <vt:i4>1769526</vt:i4>
      </vt:variant>
      <vt:variant>
        <vt:i4>116</vt:i4>
      </vt:variant>
      <vt:variant>
        <vt:i4>0</vt:i4>
      </vt:variant>
      <vt:variant>
        <vt:i4>5</vt:i4>
      </vt:variant>
      <vt:variant>
        <vt:lpwstr/>
      </vt:variant>
      <vt:variant>
        <vt:lpwstr>_Toc228288447</vt:lpwstr>
      </vt:variant>
      <vt:variant>
        <vt:i4>1769526</vt:i4>
      </vt:variant>
      <vt:variant>
        <vt:i4>110</vt:i4>
      </vt:variant>
      <vt:variant>
        <vt:i4>0</vt:i4>
      </vt:variant>
      <vt:variant>
        <vt:i4>5</vt:i4>
      </vt:variant>
      <vt:variant>
        <vt:lpwstr/>
      </vt:variant>
      <vt:variant>
        <vt:lpwstr>_Toc228288446</vt:lpwstr>
      </vt:variant>
      <vt:variant>
        <vt:i4>1769526</vt:i4>
      </vt:variant>
      <vt:variant>
        <vt:i4>104</vt:i4>
      </vt:variant>
      <vt:variant>
        <vt:i4>0</vt:i4>
      </vt:variant>
      <vt:variant>
        <vt:i4>5</vt:i4>
      </vt:variant>
      <vt:variant>
        <vt:lpwstr/>
      </vt:variant>
      <vt:variant>
        <vt:lpwstr>_Toc228288445</vt:lpwstr>
      </vt:variant>
      <vt:variant>
        <vt:i4>1769526</vt:i4>
      </vt:variant>
      <vt:variant>
        <vt:i4>98</vt:i4>
      </vt:variant>
      <vt:variant>
        <vt:i4>0</vt:i4>
      </vt:variant>
      <vt:variant>
        <vt:i4>5</vt:i4>
      </vt:variant>
      <vt:variant>
        <vt:lpwstr/>
      </vt:variant>
      <vt:variant>
        <vt:lpwstr>_Toc228288444</vt:lpwstr>
      </vt:variant>
      <vt:variant>
        <vt:i4>1769526</vt:i4>
      </vt:variant>
      <vt:variant>
        <vt:i4>92</vt:i4>
      </vt:variant>
      <vt:variant>
        <vt:i4>0</vt:i4>
      </vt:variant>
      <vt:variant>
        <vt:i4>5</vt:i4>
      </vt:variant>
      <vt:variant>
        <vt:lpwstr/>
      </vt:variant>
      <vt:variant>
        <vt:lpwstr>_Toc228288443</vt:lpwstr>
      </vt:variant>
      <vt:variant>
        <vt:i4>1769526</vt:i4>
      </vt:variant>
      <vt:variant>
        <vt:i4>86</vt:i4>
      </vt:variant>
      <vt:variant>
        <vt:i4>0</vt:i4>
      </vt:variant>
      <vt:variant>
        <vt:i4>5</vt:i4>
      </vt:variant>
      <vt:variant>
        <vt:lpwstr/>
      </vt:variant>
      <vt:variant>
        <vt:lpwstr>_Toc228288442</vt:lpwstr>
      </vt:variant>
      <vt:variant>
        <vt:i4>1769526</vt:i4>
      </vt:variant>
      <vt:variant>
        <vt:i4>80</vt:i4>
      </vt:variant>
      <vt:variant>
        <vt:i4>0</vt:i4>
      </vt:variant>
      <vt:variant>
        <vt:i4>5</vt:i4>
      </vt:variant>
      <vt:variant>
        <vt:lpwstr/>
      </vt:variant>
      <vt:variant>
        <vt:lpwstr>_Toc228288441</vt:lpwstr>
      </vt:variant>
      <vt:variant>
        <vt:i4>1769526</vt:i4>
      </vt:variant>
      <vt:variant>
        <vt:i4>74</vt:i4>
      </vt:variant>
      <vt:variant>
        <vt:i4>0</vt:i4>
      </vt:variant>
      <vt:variant>
        <vt:i4>5</vt:i4>
      </vt:variant>
      <vt:variant>
        <vt:lpwstr/>
      </vt:variant>
      <vt:variant>
        <vt:lpwstr>_Toc228288440</vt:lpwstr>
      </vt:variant>
      <vt:variant>
        <vt:i4>1835062</vt:i4>
      </vt:variant>
      <vt:variant>
        <vt:i4>68</vt:i4>
      </vt:variant>
      <vt:variant>
        <vt:i4>0</vt:i4>
      </vt:variant>
      <vt:variant>
        <vt:i4>5</vt:i4>
      </vt:variant>
      <vt:variant>
        <vt:lpwstr/>
      </vt:variant>
      <vt:variant>
        <vt:lpwstr>_Toc228288439</vt:lpwstr>
      </vt:variant>
      <vt:variant>
        <vt:i4>1835062</vt:i4>
      </vt:variant>
      <vt:variant>
        <vt:i4>62</vt:i4>
      </vt:variant>
      <vt:variant>
        <vt:i4>0</vt:i4>
      </vt:variant>
      <vt:variant>
        <vt:i4>5</vt:i4>
      </vt:variant>
      <vt:variant>
        <vt:lpwstr/>
      </vt:variant>
      <vt:variant>
        <vt:lpwstr>_Toc228288438</vt:lpwstr>
      </vt:variant>
      <vt:variant>
        <vt:i4>1835062</vt:i4>
      </vt:variant>
      <vt:variant>
        <vt:i4>56</vt:i4>
      </vt:variant>
      <vt:variant>
        <vt:i4>0</vt:i4>
      </vt:variant>
      <vt:variant>
        <vt:i4>5</vt:i4>
      </vt:variant>
      <vt:variant>
        <vt:lpwstr/>
      </vt:variant>
      <vt:variant>
        <vt:lpwstr>_Toc228288437</vt:lpwstr>
      </vt:variant>
      <vt:variant>
        <vt:i4>1835062</vt:i4>
      </vt:variant>
      <vt:variant>
        <vt:i4>50</vt:i4>
      </vt:variant>
      <vt:variant>
        <vt:i4>0</vt:i4>
      </vt:variant>
      <vt:variant>
        <vt:i4>5</vt:i4>
      </vt:variant>
      <vt:variant>
        <vt:lpwstr/>
      </vt:variant>
      <vt:variant>
        <vt:lpwstr>_Toc228288436</vt:lpwstr>
      </vt:variant>
      <vt:variant>
        <vt:i4>1835062</vt:i4>
      </vt:variant>
      <vt:variant>
        <vt:i4>44</vt:i4>
      </vt:variant>
      <vt:variant>
        <vt:i4>0</vt:i4>
      </vt:variant>
      <vt:variant>
        <vt:i4>5</vt:i4>
      </vt:variant>
      <vt:variant>
        <vt:lpwstr/>
      </vt:variant>
      <vt:variant>
        <vt:lpwstr>_Toc228288435</vt:lpwstr>
      </vt:variant>
      <vt:variant>
        <vt:i4>1835062</vt:i4>
      </vt:variant>
      <vt:variant>
        <vt:i4>38</vt:i4>
      </vt:variant>
      <vt:variant>
        <vt:i4>0</vt:i4>
      </vt:variant>
      <vt:variant>
        <vt:i4>5</vt:i4>
      </vt:variant>
      <vt:variant>
        <vt:lpwstr/>
      </vt:variant>
      <vt:variant>
        <vt:lpwstr>_Toc228288434</vt:lpwstr>
      </vt:variant>
      <vt:variant>
        <vt:i4>1835062</vt:i4>
      </vt:variant>
      <vt:variant>
        <vt:i4>32</vt:i4>
      </vt:variant>
      <vt:variant>
        <vt:i4>0</vt:i4>
      </vt:variant>
      <vt:variant>
        <vt:i4>5</vt:i4>
      </vt:variant>
      <vt:variant>
        <vt:lpwstr/>
      </vt:variant>
      <vt:variant>
        <vt:lpwstr>_Toc228288433</vt:lpwstr>
      </vt:variant>
      <vt:variant>
        <vt:i4>1835062</vt:i4>
      </vt:variant>
      <vt:variant>
        <vt:i4>26</vt:i4>
      </vt:variant>
      <vt:variant>
        <vt:i4>0</vt:i4>
      </vt:variant>
      <vt:variant>
        <vt:i4>5</vt:i4>
      </vt:variant>
      <vt:variant>
        <vt:lpwstr/>
      </vt:variant>
      <vt:variant>
        <vt:lpwstr>_Toc228288432</vt:lpwstr>
      </vt:variant>
      <vt:variant>
        <vt:i4>1835062</vt:i4>
      </vt:variant>
      <vt:variant>
        <vt:i4>20</vt:i4>
      </vt:variant>
      <vt:variant>
        <vt:i4>0</vt:i4>
      </vt:variant>
      <vt:variant>
        <vt:i4>5</vt:i4>
      </vt:variant>
      <vt:variant>
        <vt:lpwstr/>
      </vt:variant>
      <vt:variant>
        <vt:lpwstr>_Toc228288431</vt:lpwstr>
      </vt:variant>
      <vt:variant>
        <vt:i4>1835062</vt:i4>
      </vt:variant>
      <vt:variant>
        <vt:i4>14</vt:i4>
      </vt:variant>
      <vt:variant>
        <vt:i4>0</vt:i4>
      </vt:variant>
      <vt:variant>
        <vt:i4>5</vt:i4>
      </vt:variant>
      <vt:variant>
        <vt:lpwstr/>
      </vt:variant>
      <vt:variant>
        <vt:lpwstr>_Toc228288430</vt:lpwstr>
      </vt:variant>
      <vt:variant>
        <vt:i4>1900598</vt:i4>
      </vt:variant>
      <vt:variant>
        <vt:i4>8</vt:i4>
      </vt:variant>
      <vt:variant>
        <vt:i4>0</vt:i4>
      </vt:variant>
      <vt:variant>
        <vt:i4>5</vt:i4>
      </vt:variant>
      <vt:variant>
        <vt:lpwstr/>
      </vt:variant>
      <vt:variant>
        <vt:lpwstr>_Toc228288429</vt:lpwstr>
      </vt:variant>
      <vt:variant>
        <vt:i4>1900598</vt:i4>
      </vt:variant>
      <vt:variant>
        <vt:i4>2</vt:i4>
      </vt:variant>
      <vt:variant>
        <vt:i4>0</vt:i4>
      </vt:variant>
      <vt:variant>
        <vt:i4>5</vt:i4>
      </vt:variant>
      <vt:variant>
        <vt:lpwstr/>
      </vt:variant>
      <vt:variant>
        <vt:lpwstr>_Toc228288428</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Davis, Rebekah J</dc:creator>
  <cp:keywords/>
  <dc:description/>
  <cp:lastModifiedBy>Kagone, Stefanie (Contractor)</cp:lastModifiedBy>
  <cp:revision>1470</cp:revision>
  <cp:lastPrinted>2018-11-27T17:43:00Z</cp:lastPrinted>
  <dcterms:created xsi:type="dcterms:W3CDTF">2026-01-31T09:09:00Z</dcterms:created>
  <dcterms:modified xsi:type="dcterms:W3CDTF">2026-04-28T22:12:00Z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y fmtid="{D5CDD505-2E9C-101B-9397-08002B2CF9AE}" pid="3" name="GrammarlyDocumentId">
    <vt:lpwstr>0b0d6726-6e8f-4e21-8fe1-cc768b56196b</vt:lpwstr>
  </property>
  <property fmtid="{D5CDD505-2E9C-101B-9397-08002B2CF9AE}" pid="4" name="ContentTypeId">
    <vt:lpwstr>0x010100A4FB122BB1BD9141A959870760A42A63</vt:lpwstr>
  </property>
  <property fmtid="{D5CDD505-2E9C-101B-9397-08002B2CF9AE}" pid="5" name="MediaServiceImageTags">
    <vt:lpwstr/>
  </property>
  <property fmtid="{D5CDD505-2E9C-101B-9397-08002B2CF9AE}" pid="6" name="docLang">
    <vt:lpwstr>en</vt:lpwstr>
  </property>
</Properties>
</file>